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F81A3">
      <w:pPr>
        <w:pStyle w:val="3"/>
        <w:numPr>
          <w:ilvl w:val="0"/>
          <w:numId w:val="0"/>
        </w:numPr>
        <w:spacing w:beforeLines="20" w:afterLines="20" w:line="480" w:lineRule="exact"/>
        <w:jc w:val="center"/>
        <w:rPr>
          <w:rFonts w:hint="eastAsia"/>
          <w:lang w:val="zh-CN"/>
        </w:rPr>
      </w:pPr>
      <w:r>
        <w:rPr>
          <w:rFonts w:hint="eastAsia" w:ascii="Arial" w:hAnsi="Arial"/>
          <w:kern w:val="2"/>
          <w:sz w:val="32"/>
          <w:szCs w:val="32"/>
          <w:highlight w:val="none"/>
        </w:rPr>
        <w:t>采购</w:t>
      </w:r>
      <w:r>
        <w:rPr>
          <w:rFonts w:hint="eastAsia" w:ascii="Arial" w:hAnsi="Arial"/>
          <w:kern w:val="2"/>
          <w:sz w:val="32"/>
          <w:szCs w:val="32"/>
          <w:highlight w:val="none"/>
          <w:lang w:val="zh-CN"/>
        </w:rPr>
        <w:t>需求及技术要求</w:t>
      </w:r>
    </w:p>
    <w:p w14:paraId="740FB7A2">
      <w:pPr>
        <w:keepNext w:val="0"/>
        <w:pageBreakBefore w:val="0"/>
        <w:widowControl/>
        <w:kinsoku/>
        <w:overflowPunct/>
        <w:topLinePunct w:val="0"/>
        <w:bidi w:val="0"/>
        <w:snapToGrid/>
        <w:spacing w:line="500" w:lineRule="exact"/>
        <w:ind w:firstLine="430"/>
        <w:jc w:val="left"/>
        <w:textAlignment w:val="auto"/>
        <w:rPr>
          <w:rFonts w:hint="eastAsia" w:ascii="宋体" w:hAnsi="宋体" w:cs="宋体"/>
          <w:b/>
          <w:bCs/>
          <w:color w:val="000000"/>
          <w:szCs w:val="21"/>
        </w:rPr>
      </w:pPr>
    </w:p>
    <w:p w14:paraId="6AD208FD">
      <w:pPr>
        <w:keepNext w:val="0"/>
        <w:pageBreakBefore w:val="0"/>
        <w:widowControl/>
        <w:kinsoku/>
        <w:overflowPunct/>
        <w:topLinePunct w:val="0"/>
        <w:bidi w:val="0"/>
        <w:snapToGrid/>
        <w:spacing w:line="500" w:lineRule="exact"/>
        <w:ind w:firstLine="430"/>
        <w:jc w:val="left"/>
        <w:textAlignment w:val="auto"/>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w:t>
      </w:r>
      <w:r>
        <w:rPr>
          <w:rFonts w:hint="eastAsia" w:ascii="宋体" w:hAnsi="宋体" w:cs="宋体"/>
          <w:b/>
          <w:bCs/>
          <w:color w:val="000000"/>
          <w:szCs w:val="21"/>
          <w:lang w:val="en-US" w:eastAsia="zh-CN"/>
        </w:rPr>
        <w:t>磋商</w:t>
      </w:r>
      <w:r>
        <w:rPr>
          <w:rFonts w:hint="eastAsia" w:ascii="宋体" w:hAnsi="宋体" w:cs="宋体"/>
          <w:b/>
          <w:bCs/>
          <w:color w:val="000000"/>
          <w:szCs w:val="21"/>
        </w:rPr>
        <w:t>响应人可对该参数或要求进行适当调整，但这种调整整体上要优于或相当于竞争性</w:t>
      </w:r>
      <w:r>
        <w:rPr>
          <w:rFonts w:hint="eastAsia" w:ascii="宋体" w:hAnsi="宋体" w:cs="宋体"/>
          <w:b/>
          <w:bCs/>
          <w:color w:val="000000"/>
          <w:szCs w:val="21"/>
          <w:lang w:val="en-US" w:eastAsia="zh-CN"/>
        </w:rPr>
        <w:t>磋商</w:t>
      </w:r>
      <w:r>
        <w:rPr>
          <w:rFonts w:hint="eastAsia" w:ascii="宋体" w:hAnsi="宋体" w:cs="宋体"/>
          <w:b/>
          <w:bCs/>
          <w:color w:val="000000"/>
          <w:szCs w:val="21"/>
        </w:rPr>
        <w:t>文件的相关要求，并说明调整理由，且该调整须经</w:t>
      </w:r>
      <w:r>
        <w:rPr>
          <w:rFonts w:hint="eastAsia" w:ascii="宋体" w:hAnsi="宋体" w:cs="宋体"/>
          <w:b/>
          <w:bCs/>
          <w:color w:val="000000"/>
          <w:szCs w:val="21"/>
          <w:lang w:val="en-US" w:eastAsia="zh-CN"/>
        </w:rPr>
        <w:t>磋商</w:t>
      </w:r>
      <w:r>
        <w:rPr>
          <w:rFonts w:hint="eastAsia" w:ascii="宋体" w:hAnsi="宋体" w:cs="宋体"/>
          <w:b/>
          <w:bCs/>
          <w:color w:val="000000"/>
          <w:szCs w:val="21"/>
        </w:rPr>
        <w:t>小组审核认可。</w:t>
      </w:r>
      <w:bookmarkStart w:id="4" w:name="_GoBack"/>
      <w:bookmarkEnd w:id="4"/>
    </w:p>
    <w:p w14:paraId="6DB6D61C">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一、项目概况</w:t>
      </w:r>
    </w:p>
    <w:p w14:paraId="33D2456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本项目为太湖县龙安村章湾安置小区、天玺园住宅小区、易华名都住宅小区等三个小区的二次供水系统采购与安装工程。建设内容包括泵房内成套供水设备、进出水管道、控制系统、安防及远程监控系统等。</w:t>
      </w:r>
    </w:p>
    <w:p w14:paraId="31594D2C">
      <w:pPr>
        <w:pStyle w:val="4"/>
        <w:keepNext w:val="0"/>
        <w:keepLines/>
        <w:pageBreakBefore w:val="0"/>
        <w:widowControl w:val="0"/>
        <w:shd w:val="clear" w:color="auto" w:fill="FFFFFF"/>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二、采购范围</w:t>
      </w:r>
    </w:p>
    <w:p w14:paraId="775780D2">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本次采购为交钥匙工程，内容包括但不限于：</w:t>
      </w:r>
    </w:p>
    <w:p w14:paraId="4AAC605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1.货物供应：三套二次供水成套设备及其所有组件（详见货物需求表）。</w:t>
      </w:r>
    </w:p>
    <w:p w14:paraId="26D01F3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2.安装工程：设备就位、泵房内全部工艺管道（含不锈钢管材、管件、阀门等）、电气系统、自控系统、安防系统的安装与集成。包括从泵房配电箱接至设备之间的配型电缆供货及安装。</w:t>
      </w:r>
    </w:p>
    <w:p w14:paraId="4AA8C49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3.配套服务：包装运输、保险、装卸、调试、试运行、系统冲洗消毒、技术培训、竣工资料、验收交付，以及合同约定的质保期和免费维修保养服务。</w:t>
      </w:r>
    </w:p>
    <w:p w14:paraId="3C37FA8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4.系统接入：负责将泵站监控系统无缝接入采购人指定的县级/市级二次供水远程监控管理平台，并承担质保期及约定维保期内所有相关网络通信费用及接口调试工作。</w:t>
      </w:r>
    </w:p>
    <w:p w14:paraId="77E9886C">
      <w:pPr>
        <w:pStyle w:val="4"/>
        <w:keepNext w:val="0"/>
        <w:keepLines/>
        <w:pageBreakBefore w:val="0"/>
        <w:widowControl w:val="0"/>
        <w:numPr>
          <w:ilvl w:val="0"/>
          <w:numId w:val="0"/>
        </w:numPr>
        <w:kinsoku/>
        <w:wordWrap w:val="0"/>
        <w:overflowPunct/>
        <w:topLinePunct w:val="0"/>
        <w:autoSpaceDE w:val="0"/>
        <w:autoSpaceDN w:val="0"/>
        <w:bidi w:val="0"/>
        <w:adjustRightInd w:val="0"/>
        <w:snapToGrid/>
        <w:spacing w:before="157" w:beforeLines="50" w:after="157" w:afterLines="50" w:line="440" w:lineRule="exact"/>
        <w:ind w:leftChars="200"/>
        <w:textAlignment w:val="auto"/>
        <w:rPr>
          <w:rFonts w:hint="eastAsia" w:cs="Times New Roman"/>
          <w:color w:val="auto"/>
          <w:highlight w:val="none"/>
          <w:lang w:val="en-US" w:eastAsia="zh-CN"/>
        </w:rPr>
      </w:pPr>
      <w:r>
        <w:rPr>
          <w:rFonts w:hint="eastAsia" w:hAnsi="Times New Roman" w:cs="Times New Roman"/>
          <w:color w:val="auto"/>
          <w:highlight w:val="none"/>
          <w:lang w:val="en-US" w:eastAsia="zh-CN"/>
        </w:rPr>
        <w:t>三、</w:t>
      </w:r>
      <w:r>
        <w:rPr>
          <w:rFonts w:hint="eastAsia" w:ascii="宋体" w:hAnsi="Times New Roman" w:eastAsia="宋体" w:cs="Times New Roman"/>
          <w:color w:val="auto"/>
          <w:highlight w:val="none"/>
          <w:lang w:val="en-US" w:eastAsia="zh-CN"/>
        </w:rPr>
        <w:t>货物需求</w:t>
      </w:r>
      <w:r>
        <w:rPr>
          <w:rFonts w:hint="eastAsia" w:cs="Times New Roman"/>
          <w:color w:val="auto"/>
          <w:highlight w:val="none"/>
          <w:lang w:val="en-US" w:eastAsia="zh-CN"/>
        </w:rPr>
        <w:t>表</w:t>
      </w:r>
    </w:p>
    <w:tbl>
      <w:tblPr>
        <w:tblStyle w:val="6"/>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612"/>
        <w:gridCol w:w="3940"/>
        <w:gridCol w:w="785"/>
        <w:gridCol w:w="715"/>
        <w:gridCol w:w="867"/>
      </w:tblGrid>
      <w:tr w14:paraId="01D9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7D9D4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序号</w:t>
            </w:r>
          </w:p>
        </w:tc>
        <w:tc>
          <w:tcPr>
            <w:tcW w:w="1612" w:type="dxa"/>
            <w:vAlign w:val="center"/>
          </w:tcPr>
          <w:p w14:paraId="36B3F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设备名称</w:t>
            </w:r>
          </w:p>
        </w:tc>
        <w:tc>
          <w:tcPr>
            <w:tcW w:w="3940" w:type="dxa"/>
            <w:vAlign w:val="center"/>
          </w:tcPr>
          <w:p w14:paraId="1600A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技术参数及要求</w:t>
            </w:r>
          </w:p>
        </w:tc>
        <w:tc>
          <w:tcPr>
            <w:tcW w:w="785" w:type="dxa"/>
            <w:vAlign w:val="center"/>
          </w:tcPr>
          <w:p w14:paraId="18ACE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数量</w:t>
            </w:r>
          </w:p>
        </w:tc>
        <w:tc>
          <w:tcPr>
            <w:tcW w:w="715" w:type="dxa"/>
            <w:vAlign w:val="center"/>
          </w:tcPr>
          <w:p w14:paraId="2471C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单位</w:t>
            </w:r>
          </w:p>
        </w:tc>
        <w:tc>
          <w:tcPr>
            <w:tcW w:w="867" w:type="dxa"/>
            <w:vAlign w:val="center"/>
          </w:tcPr>
          <w:p w14:paraId="3C6CD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备注</w:t>
            </w:r>
          </w:p>
        </w:tc>
      </w:tr>
      <w:tr w14:paraId="60E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56F78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r>
              <w:rPr>
                <w:rFonts w:hint="eastAsia"/>
                <w:b/>
                <w:bCs/>
                <w:szCs w:val="20"/>
                <w:vertAlign w:val="baseline"/>
                <w:lang w:val="en-US" w:eastAsia="zh-CN"/>
              </w:rPr>
              <w:t>1</w:t>
            </w:r>
          </w:p>
        </w:tc>
        <w:tc>
          <w:tcPr>
            <w:tcW w:w="1612" w:type="dxa"/>
            <w:vAlign w:val="center"/>
          </w:tcPr>
          <w:p w14:paraId="59930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b/>
                <w:bCs/>
                <w:szCs w:val="20"/>
                <w:vertAlign w:val="baseline"/>
                <w:lang w:val="en-US" w:eastAsia="zh-CN"/>
              </w:rPr>
            </w:pPr>
            <w:r>
              <w:rPr>
                <w:rFonts w:hint="eastAsia" w:ascii="宋体" w:hAnsi="宋体" w:eastAsia="宋体" w:cs="宋体"/>
                <w:b w:val="0"/>
                <w:bCs w:val="0"/>
                <w:szCs w:val="20"/>
                <w:vertAlign w:val="baseline"/>
                <w:lang w:val="en-US" w:eastAsia="zh-CN"/>
              </w:rPr>
              <w:t>章湾安置小区二次供水成套设备</w:t>
            </w:r>
          </w:p>
        </w:tc>
        <w:tc>
          <w:tcPr>
            <w:tcW w:w="3940" w:type="dxa"/>
            <w:vAlign w:val="center"/>
          </w:tcPr>
          <w:p w14:paraId="7A066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Cs w:val="20"/>
                <w:highlight w:val="none"/>
                <w:vertAlign w:val="baseline"/>
                <w:lang w:val="en-US" w:eastAsia="zh-CN"/>
              </w:rPr>
            </w:pPr>
            <w:r>
              <w:rPr>
                <w:rFonts w:hint="eastAsia" w:ascii="宋体" w:hAnsi="宋体" w:eastAsia="宋体" w:cs="宋体"/>
                <w:b w:val="0"/>
                <w:bCs w:val="0"/>
                <w:color w:val="auto"/>
                <w:szCs w:val="20"/>
                <w:highlight w:val="none"/>
                <w:vertAlign w:val="baseline"/>
                <w:lang w:val="en-US" w:eastAsia="zh-CN"/>
              </w:rPr>
              <w:t>1、</w:t>
            </w:r>
            <w:r>
              <w:rPr>
                <w:rFonts w:hint="eastAsia" w:ascii="宋体" w:hAnsi="宋体" w:cs="宋体"/>
                <w:b w:val="0"/>
                <w:bCs w:val="0"/>
                <w:color w:val="auto"/>
                <w:szCs w:val="20"/>
                <w:highlight w:val="none"/>
                <w:vertAlign w:val="baseline"/>
                <w:lang w:val="en-US" w:eastAsia="zh-CN"/>
              </w:rPr>
              <w:t>一级增压设备</w:t>
            </w:r>
            <w:r>
              <w:rPr>
                <w:rFonts w:hint="eastAsia" w:ascii="宋体" w:hAnsi="宋体" w:eastAsia="宋体" w:cs="宋体"/>
                <w:b w:val="0"/>
                <w:bCs w:val="0"/>
                <w:color w:val="auto"/>
                <w:szCs w:val="20"/>
                <w:highlight w:val="none"/>
                <w:vertAlign w:val="baseline"/>
                <w:lang w:val="en-US" w:eastAsia="zh-CN"/>
              </w:rPr>
              <w:t>参数：Q=</w:t>
            </w:r>
            <w:r>
              <w:rPr>
                <w:rFonts w:hint="eastAsia" w:ascii="宋体" w:hAnsi="宋体" w:cs="宋体"/>
                <w:b w:val="0"/>
                <w:bCs w:val="0"/>
                <w:color w:val="auto"/>
                <w:szCs w:val="20"/>
                <w:highlight w:val="none"/>
                <w:vertAlign w:val="baseline"/>
                <w:lang w:val="en-US" w:eastAsia="zh-CN"/>
              </w:rPr>
              <w:t>6.5</w:t>
            </w:r>
            <w:r>
              <w:rPr>
                <w:rFonts w:hint="eastAsia" w:ascii="宋体" w:hAnsi="宋体" w:eastAsia="宋体" w:cs="宋体"/>
                <w:b w:val="0"/>
                <w:bCs w:val="0"/>
                <w:color w:val="auto"/>
                <w:szCs w:val="20"/>
                <w:vertAlign w:val="baseline"/>
                <w:lang w:val="en-US" w:eastAsia="zh-CN"/>
              </w:rPr>
              <w:t>m</w:t>
            </w:r>
            <w:r>
              <w:rPr>
                <w:rFonts w:hint="eastAsia" w:ascii="宋体" w:hAnsi="宋体" w:eastAsia="宋体" w:cs="宋体"/>
                <w:b w:val="0"/>
                <w:bCs w:val="0"/>
                <w:color w:val="auto"/>
                <w:szCs w:val="20"/>
                <w:vertAlign w:val="superscript"/>
                <w:lang w:val="en-US" w:eastAsia="zh-CN"/>
              </w:rPr>
              <w:t>3</w:t>
            </w:r>
            <w:r>
              <w:rPr>
                <w:rFonts w:hint="eastAsia" w:ascii="宋体" w:hAnsi="宋体" w:eastAsia="宋体" w:cs="宋体"/>
                <w:b w:val="0"/>
                <w:bCs w:val="0"/>
                <w:color w:val="auto"/>
                <w:szCs w:val="20"/>
                <w:vertAlign w:val="baseline"/>
                <w:lang w:val="en-US" w:eastAsia="zh-CN"/>
              </w:rPr>
              <w:t>/h</w:t>
            </w:r>
            <w:r>
              <w:rPr>
                <w:rFonts w:hint="eastAsia" w:ascii="宋体" w:hAnsi="宋体" w:eastAsia="宋体" w:cs="宋体"/>
                <w:b w:val="0"/>
                <w:bCs w:val="0"/>
                <w:color w:val="auto"/>
                <w:szCs w:val="20"/>
                <w:highlight w:val="none"/>
                <w:vertAlign w:val="baseline"/>
                <w:lang w:val="en-US" w:eastAsia="zh-CN"/>
              </w:rPr>
              <w:t>，H=60m，N=</w:t>
            </w:r>
            <w:r>
              <w:rPr>
                <w:rFonts w:hint="eastAsia" w:ascii="宋体" w:hAnsi="宋体" w:cs="宋体"/>
                <w:b w:val="0"/>
                <w:bCs w:val="0"/>
                <w:color w:val="auto"/>
                <w:szCs w:val="20"/>
                <w:highlight w:val="none"/>
                <w:vertAlign w:val="baseline"/>
                <w:lang w:val="en-US" w:eastAsia="zh-CN"/>
              </w:rPr>
              <w:t>2.2</w:t>
            </w:r>
            <w:r>
              <w:rPr>
                <w:rFonts w:hint="eastAsia" w:ascii="宋体" w:hAnsi="宋体" w:eastAsia="宋体" w:cs="宋体"/>
                <w:b w:val="0"/>
                <w:bCs w:val="0"/>
                <w:color w:val="auto"/>
                <w:szCs w:val="20"/>
                <w:highlight w:val="none"/>
                <w:vertAlign w:val="baseline"/>
                <w:lang w:val="en-US" w:eastAsia="zh-CN"/>
              </w:rPr>
              <w:t>kw</w:t>
            </w:r>
            <w:r>
              <w:rPr>
                <w:rFonts w:hint="eastAsia" w:ascii="宋体" w:hAnsi="宋体" w:cs="宋体"/>
                <w:b w:val="0"/>
                <w:bCs w:val="0"/>
                <w:color w:val="auto"/>
                <w:szCs w:val="20"/>
                <w:highlight w:val="none"/>
                <w:vertAlign w:val="baseline"/>
                <w:lang w:val="en-US" w:eastAsia="zh-CN"/>
              </w:rPr>
              <w:t>，</w:t>
            </w:r>
            <w:r>
              <w:rPr>
                <w:rFonts w:hint="eastAsia" w:ascii="宋体" w:hAnsi="宋体" w:eastAsia="宋体" w:cs="宋体"/>
                <w:b w:val="0"/>
                <w:bCs w:val="0"/>
                <w:color w:val="auto"/>
                <w:szCs w:val="20"/>
                <w:highlight w:val="none"/>
                <w:vertAlign w:val="baseline"/>
                <w:lang w:val="en-US" w:eastAsia="zh-CN"/>
              </w:rPr>
              <w:t>3台（两用一备）；</w:t>
            </w:r>
          </w:p>
          <w:p w14:paraId="737BD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color w:val="auto"/>
                <w:szCs w:val="20"/>
                <w:highlight w:val="none"/>
                <w:vertAlign w:val="baseline"/>
                <w:lang w:val="en-US" w:eastAsia="zh-CN"/>
              </w:rPr>
            </w:pPr>
            <w:r>
              <w:rPr>
                <w:rFonts w:hint="eastAsia" w:ascii="宋体" w:hAnsi="宋体" w:cs="宋体"/>
                <w:b w:val="0"/>
                <w:bCs w:val="0"/>
                <w:color w:val="auto"/>
                <w:szCs w:val="20"/>
                <w:highlight w:val="none"/>
                <w:vertAlign w:val="baseline"/>
                <w:lang w:val="en-US" w:eastAsia="zh-CN"/>
              </w:rPr>
              <w:t>2、二级增压设备参数：</w:t>
            </w:r>
            <w:r>
              <w:rPr>
                <w:rFonts w:hint="eastAsia" w:ascii="宋体" w:hAnsi="宋体" w:eastAsia="宋体" w:cs="宋体"/>
                <w:b w:val="0"/>
                <w:bCs w:val="0"/>
                <w:color w:val="auto"/>
                <w:szCs w:val="20"/>
                <w:highlight w:val="none"/>
                <w:vertAlign w:val="baseline"/>
                <w:lang w:val="en-US" w:eastAsia="zh-CN"/>
              </w:rPr>
              <w:t>Q=</w:t>
            </w:r>
            <w:r>
              <w:rPr>
                <w:rFonts w:hint="eastAsia" w:ascii="宋体" w:hAnsi="宋体" w:cs="宋体"/>
                <w:b w:val="0"/>
                <w:bCs w:val="0"/>
                <w:color w:val="auto"/>
                <w:szCs w:val="20"/>
                <w:highlight w:val="none"/>
                <w:vertAlign w:val="baseline"/>
                <w:lang w:val="en-US" w:eastAsia="zh-CN"/>
              </w:rPr>
              <w:t>6.5</w:t>
            </w:r>
            <w:r>
              <w:rPr>
                <w:rFonts w:hint="eastAsia" w:ascii="宋体" w:hAnsi="宋体" w:eastAsia="宋体" w:cs="宋体"/>
                <w:b w:val="0"/>
                <w:bCs w:val="0"/>
                <w:color w:val="auto"/>
                <w:szCs w:val="20"/>
                <w:vertAlign w:val="baseline"/>
                <w:lang w:val="en-US" w:eastAsia="zh-CN"/>
              </w:rPr>
              <w:t>m</w:t>
            </w:r>
            <w:r>
              <w:rPr>
                <w:rFonts w:hint="eastAsia" w:ascii="宋体" w:hAnsi="宋体" w:eastAsia="宋体" w:cs="宋体"/>
                <w:b w:val="0"/>
                <w:bCs w:val="0"/>
                <w:color w:val="auto"/>
                <w:szCs w:val="20"/>
                <w:vertAlign w:val="superscript"/>
                <w:lang w:val="en-US" w:eastAsia="zh-CN"/>
              </w:rPr>
              <w:t>3</w:t>
            </w:r>
            <w:r>
              <w:rPr>
                <w:rFonts w:hint="eastAsia" w:ascii="宋体" w:hAnsi="宋体" w:eastAsia="宋体" w:cs="宋体"/>
                <w:b w:val="0"/>
                <w:bCs w:val="0"/>
                <w:color w:val="auto"/>
                <w:szCs w:val="20"/>
                <w:vertAlign w:val="baseline"/>
                <w:lang w:val="en-US" w:eastAsia="zh-CN"/>
              </w:rPr>
              <w:t>/h</w:t>
            </w:r>
            <w:r>
              <w:rPr>
                <w:rFonts w:hint="eastAsia" w:ascii="宋体" w:hAnsi="宋体" w:eastAsia="宋体" w:cs="宋体"/>
                <w:b w:val="0"/>
                <w:bCs w:val="0"/>
                <w:color w:val="auto"/>
                <w:szCs w:val="20"/>
                <w:highlight w:val="none"/>
                <w:vertAlign w:val="baseline"/>
                <w:lang w:val="en-US" w:eastAsia="zh-CN"/>
              </w:rPr>
              <w:t>，H=</w:t>
            </w:r>
            <w:r>
              <w:rPr>
                <w:rFonts w:hint="eastAsia" w:ascii="宋体" w:hAnsi="宋体" w:cs="宋体"/>
                <w:b w:val="0"/>
                <w:bCs w:val="0"/>
                <w:color w:val="auto"/>
                <w:szCs w:val="20"/>
                <w:highlight w:val="none"/>
                <w:vertAlign w:val="baseline"/>
                <w:lang w:val="en-US" w:eastAsia="zh-CN"/>
              </w:rPr>
              <w:t>79</w:t>
            </w:r>
            <w:r>
              <w:rPr>
                <w:rFonts w:hint="eastAsia" w:ascii="宋体" w:hAnsi="宋体" w:eastAsia="宋体" w:cs="宋体"/>
                <w:b w:val="0"/>
                <w:bCs w:val="0"/>
                <w:color w:val="auto"/>
                <w:szCs w:val="20"/>
                <w:highlight w:val="none"/>
                <w:vertAlign w:val="baseline"/>
                <w:lang w:val="en-US" w:eastAsia="zh-CN"/>
              </w:rPr>
              <w:t>m，N=</w:t>
            </w:r>
            <w:r>
              <w:rPr>
                <w:rFonts w:hint="eastAsia" w:ascii="宋体" w:hAnsi="宋体" w:cs="宋体"/>
                <w:b w:val="0"/>
                <w:bCs w:val="0"/>
                <w:color w:val="auto"/>
                <w:szCs w:val="20"/>
                <w:highlight w:val="none"/>
                <w:vertAlign w:val="baseline"/>
                <w:lang w:val="en-US" w:eastAsia="zh-CN"/>
              </w:rPr>
              <w:t>2.2</w:t>
            </w:r>
            <w:r>
              <w:rPr>
                <w:rFonts w:hint="eastAsia" w:ascii="宋体" w:hAnsi="宋体" w:eastAsia="宋体" w:cs="宋体"/>
                <w:b w:val="0"/>
                <w:bCs w:val="0"/>
                <w:color w:val="auto"/>
                <w:szCs w:val="20"/>
                <w:highlight w:val="none"/>
                <w:vertAlign w:val="baseline"/>
                <w:lang w:val="en-US" w:eastAsia="zh-CN"/>
              </w:rPr>
              <w:t>kw</w:t>
            </w:r>
            <w:r>
              <w:rPr>
                <w:rFonts w:hint="eastAsia" w:ascii="宋体" w:hAnsi="宋体" w:cs="宋体"/>
                <w:b w:val="0"/>
                <w:bCs w:val="0"/>
                <w:color w:val="auto"/>
                <w:szCs w:val="20"/>
                <w:highlight w:val="none"/>
                <w:vertAlign w:val="baseline"/>
                <w:lang w:val="en-US" w:eastAsia="zh-CN"/>
              </w:rPr>
              <w:t>，</w:t>
            </w:r>
            <w:r>
              <w:rPr>
                <w:rFonts w:hint="eastAsia" w:ascii="宋体" w:hAnsi="宋体" w:eastAsia="宋体" w:cs="宋体"/>
                <w:b w:val="0"/>
                <w:bCs w:val="0"/>
                <w:color w:val="auto"/>
                <w:szCs w:val="20"/>
                <w:highlight w:val="none"/>
                <w:vertAlign w:val="baseline"/>
                <w:lang w:val="en-US" w:eastAsia="zh-CN"/>
              </w:rPr>
              <w:t>3台（两用一备）；</w:t>
            </w:r>
          </w:p>
          <w:p w14:paraId="305D9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Cs w:val="20"/>
                <w:highlight w:val="none"/>
                <w:vertAlign w:val="baseline"/>
                <w:lang w:val="en-US" w:eastAsia="zh-CN"/>
              </w:rPr>
            </w:pPr>
            <w:r>
              <w:rPr>
                <w:rFonts w:hint="eastAsia" w:ascii="宋体" w:hAnsi="宋体" w:cs="宋体"/>
                <w:b w:val="0"/>
                <w:bCs w:val="0"/>
                <w:color w:val="auto"/>
                <w:szCs w:val="20"/>
                <w:highlight w:val="none"/>
                <w:vertAlign w:val="baseline"/>
                <w:lang w:val="en-US" w:eastAsia="zh-CN"/>
              </w:rPr>
              <w:t>3</w:t>
            </w:r>
            <w:r>
              <w:rPr>
                <w:rFonts w:hint="eastAsia" w:ascii="宋体" w:hAnsi="宋体" w:eastAsia="宋体" w:cs="宋体"/>
                <w:b w:val="0"/>
                <w:bCs w:val="0"/>
                <w:color w:val="auto"/>
                <w:szCs w:val="20"/>
                <w:highlight w:val="none"/>
                <w:vertAlign w:val="baseline"/>
                <w:lang w:val="en-US" w:eastAsia="zh-CN"/>
              </w:rPr>
              <w:t>、配套稳流罐、气压罐，含进出水管路系统、电磁流量计、自动化控制系统、安防及远程监控等；</w:t>
            </w:r>
          </w:p>
          <w:p w14:paraId="7C508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szCs w:val="20"/>
                <w:highlight w:val="none"/>
                <w:vertAlign w:val="baseline"/>
                <w:lang w:val="en-US" w:eastAsia="zh-CN"/>
              </w:rPr>
            </w:pPr>
            <w:r>
              <w:rPr>
                <w:rFonts w:hint="eastAsia" w:ascii="宋体" w:hAnsi="宋体" w:cs="宋体"/>
                <w:b w:val="0"/>
                <w:bCs w:val="0"/>
                <w:color w:val="auto"/>
                <w:szCs w:val="20"/>
                <w:highlight w:val="none"/>
                <w:vertAlign w:val="baseline"/>
                <w:lang w:val="en-US" w:eastAsia="zh-CN"/>
              </w:rPr>
              <w:t>4</w:t>
            </w:r>
            <w:r>
              <w:rPr>
                <w:rFonts w:hint="eastAsia" w:ascii="宋体" w:hAnsi="宋体" w:eastAsia="宋体" w:cs="宋体"/>
                <w:b w:val="0"/>
                <w:bCs w:val="0"/>
                <w:color w:val="auto"/>
                <w:szCs w:val="20"/>
                <w:highlight w:val="none"/>
                <w:vertAlign w:val="baseline"/>
                <w:lang w:val="en-US" w:eastAsia="zh-CN"/>
              </w:rPr>
              <w:t>、小区总户数154户，最高楼层16层，其中5层及以上为加压层，5至10层为一级加压，11-16层为二级加压，涉及用户共96户；</w:t>
            </w:r>
          </w:p>
          <w:p w14:paraId="57F83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b/>
                <w:bCs/>
                <w:szCs w:val="20"/>
                <w:vertAlign w:val="baseline"/>
                <w:lang w:val="en-US" w:eastAsia="zh-CN"/>
              </w:rPr>
            </w:pPr>
            <w:r>
              <w:rPr>
                <w:rFonts w:hint="eastAsia" w:ascii="宋体" w:hAnsi="宋体" w:cs="宋体"/>
                <w:b w:val="0"/>
                <w:bCs w:val="0"/>
                <w:color w:val="auto"/>
                <w:szCs w:val="20"/>
                <w:highlight w:val="none"/>
                <w:vertAlign w:val="baseline"/>
                <w:lang w:val="en-US" w:eastAsia="zh-CN"/>
              </w:rPr>
              <w:t>5</w:t>
            </w:r>
            <w:r>
              <w:rPr>
                <w:rFonts w:hint="eastAsia" w:ascii="宋体" w:hAnsi="宋体" w:eastAsia="宋体" w:cs="宋体"/>
                <w:b w:val="0"/>
                <w:bCs w:val="0"/>
                <w:color w:val="auto"/>
                <w:szCs w:val="20"/>
                <w:highlight w:val="none"/>
                <w:vertAlign w:val="baseline"/>
                <w:lang w:val="en-US" w:eastAsia="zh-CN"/>
              </w:rPr>
              <w:t>、满足设计图纸要求。</w:t>
            </w:r>
          </w:p>
        </w:tc>
        <w:tc>
          <w:tcPr>
            <w:tcW w:w="785" w:type="dxa"/>
            <w:shd w:val="clear" w:color="auto" w:fill="auto"/>
            <w:vAlign w:val="center"/>
          </w:tcPr>
          <w:p w14:paraId="71ADF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szCs w:val="20"/>
                <w:vertAlign w:val="baseline"/>
                <w:lang w:val="en-US" w:eastAsia="zh-CN"/>
              </w:rPr>
              <w:t>1</w:t>
            </w:r>
          </w:p>
        </w:tc>
        <w:tc>
          <w:tcPr>
            <w:tcW w:w="715" w:type="dxa"/>
            <w:shd w:val="clear" w:color="auto" w:fill="auto"/>
            <w:vAlign w:val="center"/>
          </w:tcPr>
          <w:p w14:paraId="10903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b w:val="0"/>
                <w:bCs w:val="0"/>
                <w:kern w:val="2"/>
                <w:sz w:val="21"/>
                <w:szCs w:val="24"/>
                <w:vertAlign w:val="baseline"/>
                <w:lang w:val="en-US" w:eastAsia="zh-CN" w:bidi="ar-SA"/>
              </w:rPr>
            </w:pPr>
            <w:r>
              <w:rPr>
                <w:rFonts w:hint="eastAsia" w:ascii="宋体" w:hAnsi="宋体" w:eastAsia="宋体" w:cs="宋体"/>
                <w:b w:val="0"/>
                <w:bCs w:val="0"/>
                <w:szCs w:val="20"/>
                <w:vertAlign w:val="baseline"/>
                <w:lang w:val="en-US" w:eastAsia="zh-CN"/>
              </w:rPr>
              <w:t>套</w:t>
            </w:r>
          </w:p>
        </w:tc>
        <w:tc>
          <w:tcPr>
            <w:tcW w:w="867" w:type="dxa"/>
            <w:vAlign w:val="center"/>
          </w:tcPr>
          <w:p w14:paraId="1DC09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Cs w:val="20"/>
                <w:vertAlign w:val="baseline"/>
                <w:lang w:val="en-US" w:eastAsia="zh-CN"/>
              </w:rPr>
            </w:pPr>
          </w:p>
        </w:tc>
      </w:tr>
      <w:tr w14:paraId="0A3E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0E4F3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cs="宋体"/>
                <w:b w:val="0"/>
                <w:bCs w:val="0"/>
                <w:szCs w:val="20"/>
                <w:vertAlign w:val="baseline"/>
                <w:lang w:val="en-US" w:eastAsia="zh-CN"/>
              </w:rPr>
              <w:t>2</w:t>
            </w:r>
          </w:p>
        </w:tc>
        <w:tc>
          <w:tcPr>
            <w:tcW w:w="1612" w:type="dxa"/>
            <w:vAlign w:val="center"/>
          </w:tcPr>
          <w:p w14:paraId="50B51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color w:val="auto"/>
                <w:szCs w:val="21"/>
                <w:highlight w:val="none"/>
                <w:lang w:val="en-US" w:eastAsia="zh-CN"/>
              </w:rPr>
              <w:t>天玺园住宅小区</w:t>
            </w:r>
            <w:r>
              <w:rPr>
                <w:rFonts w:hint="eastAsia" w:ascii="宋体" w:hAnsi="宋体" w:eastAsia="宋体" w:cs="宋体"/>
                <w:b w:val="0"/>
                <w:bCs w:val="0"/>
                <w:szCs w:val="20"/>
                <w:vertAlign w:val="baseline"/>
                <w:lang w:val="en-US" w:eastAsia="zh-CN"/>
              </w:rPr>
              <w:t>二次供水成套设备</w:t>
            </w:r>
          </w:p>
        </w:tc>
        <w:tc>
          <w:tcPr>
            <w:tcW w:w="3940" w:type="dxa"/>
            <w:vAlign w:val="center"/>
          </w:tcPr>
          <w:p w14:paraId="41F91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1、单泵参数：Q=16m</w:t>
            </w:r>
            <w:r>
              <w:rPr>
                <w:rFonts w:hint="eastAsia" w:ascii="宋体" w:hAnsi="宋体" w:eastAsia="宋体" w:cs="宋体"/>
                <w:b w:val="0"/>
                <w:bCs w:val="0"/>
                <w:szCs w:val="20"/>
                <w:vertAlign w:val="superscript"/>
                <w:lang w:val="en-US" w:eastAsia="zh-CN"/>
              </w:rPr>
              <w:t>3</w:t>
            </w:r>
            <w:r>
              <w:rPr>
                <w:rFonts w:hint="eastAsia" w:ascii="宋体" w:hAnsi="宋体" w:eastAsia="宋体" w:cs="宋体"/>
                <w:b w:val="0"/>
                <w:bCs w:val="0"/>
                <w:szCs w:val="20"/>
                <w:vertAlign w:val="baseline"/>
                <w:lang w:val="en-US" w:eastAsia="zh-CN"/>
              </w:rPr>
              <w:t>/h，H=58m，N=3kw，2台（一用一备）；</w:t>
            </w:r>
          </w:p>
          <w:p w14:paraId="540B3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2、配套稳流罐、气压罐，含进出水管路系统、电磁流量计、自动化控制系统、安防及远程监控等；</w:t>
            </w:r>
          </w:p>
          <w:p w14:paraId="73740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3、小区总户数112户，最高楼层11层，其中5层及以上为加压层，涉及用户共56户；</w:t>
            </w:r>
          </w:p>
          <w:p w14:paraId="61F6F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szCs w:val="20"/>
                <w:lang w:val="en-US" w:eastAsia="zh-CN"/>
              </w:rPr>
            </w:pPr>
            <w:r>
              <w:rPr>
                <w:rFonts w:hint="eastAsia" w:ascii="宋体" w:hAnsi="宋体" w:eastAsia="宋体" w:cs="宋体"/>
                <w:b w:val="0"/>
                <w:bCs w:val="0"/>
                <w:szCs w:val="20"/>
                <w:vertAlign w:val="baseline"/>
                <w:lang w:val="en-US" w:eastAsia="zh-CN"/>
              </w:rPr>
              <w:t>4、满足设计图纸要求。</w:t>
            </w:r>
          </w:p>
        </w:tc>
        <w:tc>
          <w:tcPr>
            <w:tcW w:w="785" w:type="dxa"/>
            <w:vAlign w:val="center"/>
          </w:tcPr>
          <w:p w14:paraId="42F05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1</w:t>
            </w:r>
          </w:p>
        </w:tc>
        <w:tc>
          <w:tcPr>
            <w:tcW w:w="715" w:type="dxa"/>
            <w:vAlign w:val="center"/>
          </w:tcPr>
          <w:p w14:paraId="31CE3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套</w:t>
            </w:r>
          </w:p>
        </w:tc>
        <w:tc>
          <w:tcPr>
            <w:tcW w:w="867" w:type="dxa"/>
            <w:vAlign w:val="center"/>
          </w:tcPr>
          <w:p w14:paraId="4FD29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p>
        </w:tc>
      </w:tr>
      <w:tr w14:paraId="61F2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Align w:val="center"/>
          </w:tcPr>
          <w:p w14:paraId="593E3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cs="宋体"/>
                <w:b w:val="0"/>
                <w:bCs w:val="0"/>
                <w:szCs w:val="20"/>
                <w:vertAlign w:val="baseline"/>
                <w:lang w:val="en-US" w:eastAsia="zh-CN"/>
              </w:rPr>
              <w:t>3</w:t>
            </w:r>
          </w:p>
        </w:tc>
        <w:tc>
          <w:tcPr>
            <w:tcW w:w="1612" w:type="dxa"/>
            <w:vAlign w:val="center"/>
          </w:tcPr>
          <w:p w14:paraId="237B6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易华名都</w:t>
            </w:r>
            <w:r>
              <w:rPr>
                <w:rFonts w:hint="eastAsia" w:ascii="宋体" w:hAnsi="宋体" w:cs="宋体"/>
                <w:b w:val="0"/>
                <w:bCs w:val="0"/>
                <w:szCs w:val="20"/>
                <w:vertAlign w:val="baseline"/>
                <w:lang w:val="en-US" w:eastAsia="zh-CN"/>
              </w:rPr>
              <w:t>住宅</w:t>
            </w:r>
            <w:r>
              <w:rPr>
                <w:rFonts w:hint="eastAsia" w:ascii="宋体" w:hAnsi="宋体" w:eastAsia="宋体" w:cs="宋体"/>
                <w:b w:val="0"/>
                <w:bCs w:val="0"/>
                <w:szCs w:val="20"/>
                <w:vertAlign w:val="baseline"/>
                <w:lang w:val="en-US" w:eastAsia="zh-CN"/>
              </w:rPr>
              <w:t>小区二次供水成套设备</w:t>
            </w:r>
          </w:p>
        </w:tc>
        <w:tc>
          <w:tcPr>
            <w:tcW w:w="3940" w:type="dxa"/>
            <w:vAlign w:val="center"/>
          </w:tcPr>
          <w:p w14:paraId="576A9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pPr>
            <w:r>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t>1、单泵参数：Q=</w:t>
            </w:r>
            <w:r>
              <w:rPr>
                <w:rFonts w:hint="eastAsia" w:ascii="宋体" w:hAnsi="宋体" w:cs="宋体"/>
                <w:b w:val="0"/>
                <w:bCs w:val="0"/>
                <w:color w:val="000000" w:themeColor="text1"/>
                <w:szCs w:val="20"/>
                <w:vertAlign w:val="baseline"/>
                <w:lang w:val="en-US" w:eastAsia="zh-CN"/>
                <w14:textFill>
                  <w14:solidFill>
                    <w14:schemeClr w14:val="tx1"/>
                  </w14:solidFill>
                </w14:textFill>
              </w:rPr>
              <w:t>24</w:t>
            </w:r>
            <w:r>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t>m</w:t>
            </w:r>
            <w:r>
              <w:rPr>
                <w:rFonts w:hint="eastAsia" w:ascii="宋体" w:hAnsi="宋体" w:eastAsia="宋体" w:cs="宋体"/>
                <w:b w:val="0"/>
                <w:bCs w:val="0"/>
                <w:color w:val="000000" w:themeColor="text1"/>
                <w:szCs w:val="20"/>
                <w:vertAlign w:val="superscript"/>
                <w:lang w:val="en-US" w:eastAsia="zh-CN"/>
                <w14:textFill>
                  <w14:solidFill>
                    <w14:schemeClr w14:val="tx1"/>
                  </w14:solidFill>
                </w14:textFill>
              </w:rPr>
              <w:t>3</w:t>
            </w:r>
            <w:r>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t>/h，H=80m，N=4kw，</w:t>
            </w:r>
            <w:r>
              <w:rPr>
                <w:rFonts w:hint="eastAsia" w:ascii="宋体" w:hAnsi="宋体" w:cs="宋体"/>
                <w:b w:val="0"/>
                <w:bCs w:val="0"/>
                <w:color w:val="000000" w:themeColor="text1"/>
                <w:szCs w:val="20"/>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t>台（</w:t>
            </w:r>
            <w:r>
              <w:rPr>
                <w:rFonts w:hint="eastAsia" w:ascii="宋体" w:hAnsi="宋体" w:cs="宋体"/>
                <w:b w:val="0"/>
                <w:bCs w:val="0"/>
                <w:color w:val="000000" w:themeColor="text1"/>
                <w:szCs w:val="20"/>
                <w:vertAlign w:val="baseline"/>
                <w:lang w:val="en-US" w:eastAsia="zh-CN"/>
                <w14:textFill>
                  <w14:solidFill>
                    <w14:schemeClr w14:val="tx1"/>
                  </w14:solidFill>
                </w14:textFill>
              </w:rPr>
              <w:t>两</w:t>
            </w:r>
            <w:r>
              <w:rPr>
                <w:rFonts w:hint="eastAsia" w:ascii="宋体" w:hAnsi="宋体" w:eastAsia="宋体" w:cs="宋体"/>
                <w:b w:val="0"/>
                <w:bCs w:val="0"/>
                <w:color w:val="000000" w:themeColor="text1"/>
                <w:szCs w:val="20"/>
                <w:vertAlign w:val="baseline"/>
                <w:lang w:val="en-US" w:eastAsia="zh-CN"/>
                <w14:textFill>
                  <w14:solidFill>
                    <w14:schemeClr w14:val="tx1"/>
                  </w14:solidFill>
                </w14:textFill>
              </w:rPr>
              <w:t>用一备）；</w:t>
            </w:r>
          </w:p>
          <w:p w14:paraId="1CDE1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2、配套稳流罐、气压罐，含进出水管路系统、电磁流量计、自动化控制系统、安防及远程监控等；</w:t>
            </w:r>
          </w:p>
          <w:p w14:paraId="699CD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3、小区总户数169户，最高楼层11层，其中5层及以上为加压层，涉及用户共102户；</w:t>
            </w:r>
          </w:p>
          <w:p w14:paraId="131C5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szCs w:val="20"/>
                <w:lang w:val="en-US" w:eastAsia="zh-CN"/>
              </w:rPr>
            </w:pPr>
            <w:r>
              <w:rPr>
                <w:rFonts w:hint="eastAsia" w:ascii="宋体" w:hAnsi="宋体" w:eastAsia="宋体" w:cs="宋体"/>
                <w:b w:val="0"/>
                <w:bCs w:val="0"/>
                <w:szCs w:val="20"/>
                <w:vertAlign w:val="baseline"/>
                <w:lang w:val="en-US" w:eastAsia="zh-CN"/>
              </w:rPr>
              <w:t>4、满足设计图纸要求。</w:t>
            </w:r>
          </w:p>
        </w:tc>
        <w:tc>
          <w:tcPr>
            <w:tcW w:w="785" w:type="dxa"/>
            <w:vAlign w:val="center"/>
          </w:tcPr>
          <w:p w14:paraId="685D7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1</w:t>
            </w:r>
          </w:p>
        </w:tc>
        <w:tc>
          <w:tcPr>
            <w:tcW w:w="715" w:type="dxa"/>
            <w:vAlign w:val="center"/>
          </w:tcPr>
          <w:p w14:paraId="54711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r>
              <w:rPr>
                <w:rFonts w:hint="eastAsia" w:ascii="宋体" w:hAnsi="宋体" w:eastAsia="宋体" w:cs="宋体"/>
                <w:b w:val="0"/>
                <w:bCs w:val="0"/>
                <w:szCs w:val="20"/>
                <w:vertAlign w:val="baseline"/>
                <w:lang w:val="en-US" w:eastAsia="zh-CN"/>
              </w:rPr>
              <w:t>套</w:t>
            </w:r>
          </w:p>
        </w:tc>
        <w:tc>
          <w:tcPr>
            <w:tcW w:w="867" w:type="dxa"/>
            <w:vAlign w:val="center"/>
          </w:tcPr>
          <w:p w14:paraId="027AA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val="0"/>
                <w:bCs w:val="0"/>
                <w:szCs w:val="20"/>
                <w:vertAlign w:val="baseline"/>
                <w:lang w:val="en-US" w:eastAsia="zh-CN"/>
              </w:rPr>
            </w:pPr>
          </w:p>
        </w:tc>
      </w:tr>
    </w:tbl>
    <w:p w14:paraId="31B64B34">
      <w:pPr>
        <w:pStyle w:val="4"/>
        <w:keepNext w:val="0"/>
        <w:keepLines/>
        <w:pageBreakBefore w:val="0"/>
        <w:widowControl w:val="0"/>
        <w:numPr>
          <w:ilvl w:val="0"/>
          <w:numId w:val="0"/>
        </w:numPr>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eastAsia" w:cs="Times New Roman"/>
          <w:color w:val="auto"/>
          <w:highlight w:val="none"/>
          <w:lang w:val="en-US" w:eastAsia="zh-CN"/>
        </w:rPr>
      </w:pPr>
      <w:r>
        <w:rPr>
          <w:rFonts w:hint="eastAsia" w:hAnsi="Times New Roman" w:cs="Times New Roman"/>
          <w:color w:val="auto"/>
          <w:highlight w:val="none"/>
          <w:lang w:val="en-US" w:eastAsia="zh-CN"/>
        </w:rPr>
        <w:t>四、</w:t>
      </w:r>
      <w:r>
        <w:rPr>
          <w:rFonts w:hint="eastAsia" w:ascii="宋体" w:hAnsi="Times New Roman" w:eastAsia="宋体" w:cs="Times New Roman"/>
          <w:color w:val="auto"/>
          <w:highlight w:val="none"/>
          <w:lang w:val="en-US" w:eastAsia="zh-CN"/>
        </w:rPr>
        <w:t>技术性能指标</w:t>
      </w:r>
    </w:p>
    <w:p w14:paraId="66AC048E">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3.1通用技术标准与规范</w:t>
      </w:r>
    </w:p>
    <w:p w14:paraId="54F5D79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所投产品必须符合或优于以下标准的最新有效版本：</w:t>
      </w:r>
    </w:p>
    <w:p w14:paraId="2566EEB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设备标准：GB/T 26003, GB/T 24912, GB/T 31853, GB/T 24603</w:t>
      </w:r>
    </w:p>
    <w:p w14:paraId="7353525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水泵标准：GB/T 5657, GB/T 3214, GB 19762 (节能评价值)</w:t>
      </w:r>
    </w:p>
    <w:p w14:paraId="7E74428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压力容器标准：GB 150</w:t>
      </w:r>
    </w:p>
    <w:p w14:paraId="7875B33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电气与控制标准：GB 755, GB/T 3797, GB4208</w:t>
      </w:r>
    </w:p>
    <w:p w14:paraId="506A1162">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材料与卫生标准：GB/T 17219 (强制性卫生安全), GB/T 12771</w:t>
      </w:r>
    </w:p>
    <w:p w14:paraId="2C929E8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噪声与振动标准：GB/T 29529, GB/T 29531 (要求达到A级)</w:t>
      </w:r>
    </w:p>
    <w:p w14:paraId="08BF253E">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3.2水泵机组</w:t>
      </w:r>
    </w:p>
    <w:p w14:paraId="09DA3DA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效率：必须满足GB 19762的节能评价值，实测效率≥70%。</w:t>
      </w:r>
    </w:p>
    <w:p w14:paraId="15AFFB4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材质：所有过流部件（泵体、叶轮、法兰等）必须采用食品级S30408(06Cr19Ni10)不锈钢。</w:t>
      </w:r>
    </w:p>
    <w:p w14:paraId="2826A43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工艺：叶轮应采用激光整体焊接或更先进的全铸造/锻造一体化工艺。</w:t>
      </w:r>
    </w:p>
    <w:p w14:paraId="641E0895">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性能：提供官方性能曲线，铭牌参数必须与投标文件一致。运行噪声、振动需达国标A级。</w:t>
      </w:r>
    </w:p>
    <w:p w14:paraId="7E14E26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轴承与密封： 轴承须采用SKF、FAG、NSK、TIMKEN等国际一线品牌，寿命≥10万小时。机械密封动/静环须为碳化硅或更优材质。</w:t>
      </w:r>
    </w:p>
    <w:p w14:paraId="3FBBF04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减振：必须配备高效橡胶隔振垫，基座为304不锈钢包覆并带物理隔振设计。</w:t>
      </w:r>
    </w:p>
    <w:p w14:paraId="1FBC8AA2">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3.3 配套电机</w:t>
      </w:r>
    </w:p>
    <w:p w14:paraId="0BF6797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能效：必须符合GB18613-2020 1级能效标准。</w:t>
      </w:r>
    </w:p>
    <w:p w14:paraId="77FD7E9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规格：380V/50Hz，防护等级IP55，绝缘等级F级，优先选用4极电机（≤1480r/min）。</w:t>
      </w:r>
    </w:p>
    <w:p w14:paraId="7C3D8F0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冷却与运行： 风冷，S1连续工作制。</w:t>
      </w:r>
    </w:p>
    <w:p w14:paraId="3578F00B">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3.4 管路、稳流罐与气压罐</w:t>
      </w:r>
    </w:p>
    <w:p w14:paraId="75FDEB6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材质：所有管道、阀门过流部件、管件必须采用食品级S30408或更优（如S31603）不锈钢。</w:t>
      </w:r>
    </w:p>
    <w:p w14:paraId="1A436A4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管道：壁厚≥4mm，符合GB/T 12771，内外酸洗钝化，外部亚光处理。禁止现场焊接，工厂预制并预留标准法兰（PN16）。</w:t>
      </w:r>
    </w:p>
    <w:p w14:paraId="28FE88B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阀门：全通径设计，提供关键阀门第三方检测报告。</w:t>
      </w:r>
    </w:p>
    <w:p w14:paraId="22B1F27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稳流补偿罐：S30408不锈钢，壁厚&gt;3mm，口径≥DN100，抛丸亚光处理。</w:t>
      </w:r>
    </w:p>
    <w:p w14:paraId="2F08C2A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气压罐： S30408不锈钢罐体，食品级橡胶隔膜/气囊。</w:t>
      </w:r>
    </w:p>
    <w:p w14:paraId="75C713D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自来水保护装置：必须设置，确保市政管网最低服务压力不被破坏。</w:t>
      </w:r>
    </w:p>
    <w:p w14:paraId="491F913B">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3.5 控制系统（硬件）</w:t>
      </w:r>
    </w:p>
    <w:p w14:paraId="3902BF2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可编程控制器PLC：推荐品牌为西门子、罗克韦尔、施耐德或同等级。须完全满足采购文件通讯协议要求。</w:t>
      </w:r>
    </w:p>
    <w:p w14:paraId="704C2DB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触摸屏：≥10英寸，IP65防护，支持数据导出与分级权限管理。</w:t>
      </w:r>
    </w:p>
    <w:p w14:paraId="111DCED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变频器：推荐品牌为ABB、西门子、丹佛斯或同等级，功率严格匹配电机，内置电抗器及滤波器。</w:t>
      </w:r>
    </w:p>
    <w:p w14:paraId="61BAD0F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电气元件：断路器、接触器等主要元件推荐品牌为施耐德、ABB、西门子或同等级。</w:t>
      </w:r>
    </w:p>
    <w:p w14:paraId="1348E50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传感器及仪表：</w:t>
      </w:r>
    </w:p>
    <w:p w14:paraId="3B5348D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压力变送器：推荐E+H、西门子、科隆或同等级一线品牌，精度分别不低于0.25%FS。</w:t>
      </w:r>
    </w:p>
    <w:p w14:paraId="661072A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电磁流量计：推荐E+H、科隆、西门子或同等一线品牌产品，测量精度不低于0.5级。</w:t>
      </w:r>
    </w:p>
    <w:p w14:paraId="71AEE1C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材质：测量管衬里材质应为食品级聚四氟乙烯或硬橡胶，电极材质为S31603不锈钢或哈氏合金，确保卫生与耐腐蚀。</w:t>
      </w:r>
    </w:p>
    <w:p w14:paraId="47AC7ED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功能与认证：必须带接地环，具备空管检测与自动报警功能。用于贸易结算的流量计需提供计量器具型式批准证书（CPA）。产品卫生标准性能须符合GB/T17219要求。</w:t>
      </w:r>
    </w:p>
    <w:p w14:paraId="4E9C1F9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信号输出：至少支持4-20mA模拟量输出及RS485/MODBUS通讯接口，便于接入本地PLC和远程监控系统。</w:t>
      </w:r>
    </w:p>
    <w:p w14:paraId="6A61932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安装要求：应安装在设备总出水管的直管段上，前后直管段长度需满足制造商的安装要求，以保证测量精度。</w:t>
      </w:r>
    </w:p>
    <w:p w14:paraId="0518DAF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液位计等其他仪表应选用同等档次产品。</w:t>
      </w:r>
    </w:p>
    <w:p w14:paraId="064F3B6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变频控制柜：柜体≥2.0mm冷轧钢板，IP55防护，柜内布局规范，强弱电分离，配备自动温湿度控制、独立接地排和浪涌保护器。</w:t>
      </w:r>
    </w:p>
    <w:p w14:paraId="2A69639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双电源柜：四级ATS带旁路隔离功能，柜体IP55，提供CCC认证。</w:t>
      </w:r>
    </w:p>
    <w:p w14:paraId="6118849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3.6 系统功能与控制</w:t>
      </w:r>
    </w:p>
    <w:p w14:paraId="0EBFDF2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控制模式：具备手动（最高优先级）、自动、远程三种模式。</w:t>
      </w:r>
    </w:p>
    <w:p w14:paraId="4E18BAF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恒压供水：压力控制精度≤±0.01MPa，切换平稳。</w:t>
      </w:r>
    </w:p>
    <w:p w14:paraId="4F428AB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智能功能：水泵轮换、休眠/唤醒、故障自诊断与冗余、防水锤、超压/失压保护、自动巡检。</w:t>
      </w:r>
    </w:p>
    <w:p w14:paraId="54E2783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数据管理：触摸屏历史数据存储≥30,000条，支持导出。</w:t>
      </w:r>
    </w:p>
    <w:p w14:paraId="5687AAC7">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3.7 安防及远程监控</w:t>
      </w:r>
    </w:p>
    <w:p w14:paraId="1E146D0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设备品牌：摄像头、门禁、硬盘录像机等推荐选用海康威视、大华、宇视或同等级主流品牌。</w:t>
      </w:r>
    </w:p>
    <w:p w14:paraId="5406094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视频监控：无死角覆盖，录像存储≥90天，要求为全彩摄像头，像素不低于200W。</w:t>
      </w:r>
    </w:p>
    <w:p w14:paraId="4EC42DA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系统联动：门禁与照明、报警、监控中心联动。</w:t>
      </w:r>
    </w:p>
    <w:p w14:paraId="0C62BFA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平台对接：供应商必须负责免费接入采购人指定平台，并承担质保期内相关通信及维护费用。</w:t>
      </w:r>
    </w:p>
    <w:p w14:paraId="5814925A">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3.8 安装、调试与验收</w:t>
      </w:r>
    </w:p>
    <w:p w14:paraId="1A95DF7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安装规范：符合GB 50275、GB 50303等国家规范。使用专用不锈钢工具，防止污染。</w:t>
      </w:r>
    </w:p>
    <w:p w14:paraId="78F859C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关键部件：进水口装Y型过滤器，最高点装自动排气阀。进水阀为手电一体阀。电磁流量计的安装必须严格遵照产品说明书，确保足够的直管段和正确的接地。</w:t>
      </w:r>
    </w:p>
    <w:p w14:paraId="76EA8EE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冲洗消毒：安装后必须进行系统冲洗、消毒，并提供水质检测合格报告。</w:t>
      </w:r>
    </w:p>
    <w:p w14:paraId="071D9DB7">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其他要求：不锈钢管道与相关组件之间应采用沟槽式卡箍连接；相关设备须具有防雷措施；排污口须接入下水道。</w:t>
      </w:r>
    </w:p>
    <w:p w14:paraId="0F54FFB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调试与校验：包含单机、联动、远程调试及72小时连续试运行。电磁流量计需在调试阶段进行零点校准和满量程标定，并出示调试记录。</w:t>
      </w:r>
    </w:p>
    <w:p w14:paraId="02933E4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Times New Roman"/>
          <w:color w:val="auto"/>
          <w:highlight w:val="none"/>
          <w:lang w:val="en-US" w:eastAsia="zh-CN"/>
        </w:rPr>
      </w:pPr>
      <w:r>
        <w:rPr>
          <w:rFonts w:hint="eastAsia" w:ascii="宋体" w:hAnsi="宋体"/>
          <w:color w:val="auto"/>
          <w:szCs w:val="21"/>
          <w:highlight w:val="none"/>
          <w:lang w:val="en-US" w:eastAsia="zh-CN"/>
        </w:rPr>
        <w:t>资料交付：验收时提供全套资料，其中电磁流量计必须提供产品合格证、出厂检定报告、CPA证书、卫生许可批件及详细的中文操作手册。</w:t>
      </w:r>
    </w:p>
    <w:p w14:paraId="1B634D90">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备注】上述技术性能指标要求皆不作为初审指标要求，成交后供应商按照采购文件及合同要求进行供货，如成交后未按要求进行供货，直接无条件解除合同并扣除履约保证金，由此产生的所有损失和责任由成交人承担。</w:t>
      </w:r>
    </w:p>
    <w:p w14:paraId="2FC861F9">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eastAsia" w:ascii="宋体" w:hAnsi="Times New Roman" w:eastAsia="宋体" w:cs="Times New Roman"/>
          <w:color w:val="auto"/>
          <w:highlight w:val="none"/>
          <w:lang w:val="en-US" w:eastAsia="zh-CN"/>
        </w:rPr>
      </w:pPr>
      <w:r>
        <w:rPr>
          <w:rFonts w:hint="eastAsia" w:hAnsi="Times New Roman" w:cs="Times New Roman"/>
          <w:color w:val="auto"/>
          <w:highlight w:val="none"/>
          <w:lang w:val="en-US" w:eastAsia="zh-CN"/>
        </w:rPr>
        <w:t>五</w:t>
      </w:r>
      <w:r>
        <w:rPr>
          <w:rFonts w:hint="eastAsia" w:ascii="宋体" w:hAnsi="Times New Roman" w:eastAsia="宋体" w:cs="Times New Roman"/>
          <w:color w:val="auto"/>
          <w:highlight w:val="none"/>
          <w:lang w:val="en-US" w:eastAsia="zh-CN"/>
        </w:rPr>
        <w:t>、供货要求</w:t>
      </w:r>
    </w:p>
    <w:p w14:paraId="75FF267E">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1、合同签订之日起20日历天内完成供货、安装及调试。</w:t>
      </w:r>
    </w:p>
    <w:p w14:paraId="69AE911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2、本项目交货地点为太湖县龙安村章湾安置小区、天玺园住宅小区、易华名都住宅小区，具体地点由采购人指定。</w:t>
      </w:r>
    </w:p>
    <w:p w14:paraId="58F86A5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3、货物运到采购人指定现场须向采购人提供产品合格证，未提供合格证采购人将不予验收。</w:t>
      </w:r>
    </w:p>
    <w:p w14:paraId="02075E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4、成交人须将货物运送到采购人指定地点（送货入户），货物运输、安装、调试等过程中发生的损耗、安全责任或造成第三方损失由成交人承担。</w:t>
      </w:r>
    </w:p>
    <w:p w14:paraId="64F31034">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eastAsia" w:ascii="宋体" w:hAnsi="Times New Roman" w:eastAsia="宋体" w:cs="Times New Roman"/>
          <w:color w:val="auto"/>
          <w:highlight w:val="none"/>
          <w:lang w:val="en-US" w:eastAsia="zh-CN"/>
        </w:rPr>
      </w:pPr>
      <w:bookmarkStart w:id="0" w:name="_Toc21193"/>
      <w:bookmarkStart w:id="1" w:name="_Toc23557"/>
      <w:r>
        <w:rPr>
          <w:rFonts w:hint="eastAsia" w:hAnsi="Times New Roman" w:cs="Times New Roman"/>
          <w:color w:val="auto"/>
          <w:highlight w:val="none"/>
          <w:lang w:val="en-US" w:eastAsia="zh-CN"/>
        </w:rPr>
        <w:t>六</w:t>
      </w:r>
      <w:r>
        <w:rPr>
          <w:rFonts w:hint="eastAsia" w:ascii="宋体" w:hAnsi="Times New Roman" w:eastAsia="宋体" w:cs="Times New Roman"/>
          <w:color w:val="auto"/>
          <w:highlight w:val="none"/>
          <w:lang w:val="en-US" w:eastAsia="zh-CN"/>
        </w:rPr>
        <w:t>、货物质量及售后服务要求</w:t>
      </w:r>
      <w:bookmarkEnd w:id="0"/>
      <w:bookmarkEnd w:id="1"/>
    </w:p>
    <w:p w14:paraId="2F5A2B6E">
      <w:pPr>
        <w:keepNext w:val="0"/>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w:t>
      </w:r>
      <w:r>
        <w:rPr>
          <w:rFonts w:hint="eastAsia" w:ascii="宋体" w:hAnsi="宋体"/>
          <w:color w:val="auto"/>
          <w:szCs w:val="21"/>
          <w:highlight w:val="none"/>
          <w:lang w:val="en-US" w:eastAsia="zh-CN"/>
        </w:rPr>
        <w:t>成交</w:t>
      </w:r>
      <w:r>
        <w:rPr>
          <w:rFonts w:hint="eastAsia" w:ascii="宋体" w:hAnsi="宋体"/>
          <w:color w:val="auto"/>
          <w:szCs w:val="21"/>
          <w:highlight w:val="none"/>
        </w:rPr>
        <w:t>人提供的货物必须是全新、原装、合格正品，完全符合国家规定的质量标准和厂方的标准。货物完好，配件齐全。</w:t>
      </w:r>
    </w:p>
    <w:p w14:paraId="780449A1">
      <w:pPr>
        <w:keepNext w:val="0"/>
        <w:pageBreakBefore w:val="0"/>
        <w:widowControl/>
        <w:kinsoku/>
        <w:overflowPunct/>
        <w:topLinePunct w:val="0"/>
        <w:bidi w:val="0"/>
        <w:snapToGrid/>
        <w:spacing w:line="440" w:lineRule="exact"/>
        <w:ind w:firstLine="42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保修及售后服务：成交人对其所提供的货物免费质保期最低2年（具体以供应商质保承诺执行），且不低于所供品牌向用户承诺的质保期限，质保期从项目验收合格后算起。成交人应在接到报修通知后在规定时间内上门维修，负责更换有瑕疵的货物、部件或提供相应的质量保证期内的服务。质保期内，成交人拒绝承担质保责任或其他理由未及时承担质保责任的，采购人有权采用其他渠道或方式对产品进行维修、更换，由此产生的费用由成交人承担。如经维修、更换仍无法消除该缺陷，采购人有权要求退货，成交人应承担违约责任并赔偿采购人因产品存在缺陷遭受的全部损失。若造成货物的缺陷、损坏是采购人原因造成的，则相关费用由采购人承担。</w:t>
      </w:r>
    </w:p>
    <w:p w14:paraId="6A97B62C">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eastAsia" w:cs="Times New Roman"/>
          <w:color w:val="auto"/>
          <w:highlight w:val="none"/>
          <w:lang w:val="en-US" w:eastAsia="zh-CN"/>
        </w:rPr>
      </w:pPr>
      <w:bookmarkStart w:id="2" w:name="_Toc23093"/>
      <w:bookmarkStart w:id="3" w:name="_Toc7485"/>
      <w:r>
        <w:rPr>
          <w:rFonts w:hint="eastAsia" w:cs="Times New Roman"/>
          <w:color w:val="auto"/>
          <w:highlight w:val="none"/>
          <w:lang w:val="en-US" w:eastAsia="zh-CN"/>
        </w:rPr>
        <w:t>七、人员培训要求</w:t>
      </w:r>
    </w:p>
    <w:p w14:paraId="611C3B2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货物安装、调试、验收合格后，成交人应对采购人的相关人员进行免费现场培训。培训内容包括基本操作、保养维修、常见故障及解决办法等。</w:t>
      </w:r>
    </w:p>
    <w:p w14:paraId="779B394A">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color w:val="auto"/>
          <w:highlight w:val="none"/>
        </w:rPr>
      </w:pPr>
      <w:r>
        <w:rPr>
          <w:rFonts w:hint="eastAsia" w:hAnsi="Times New Roman" w:cs="Times New Roman"/>
          <w:color w:val="auto"/>
          <w:highlight w:val="none"/>
          <w:lang w:val="en-US" w:eastAsia="zh-CN"/>
        </w:rPr>
        <w:t>八</w:t>
      </w:r>
      <w:r>
        <w:rPr>
          <w:rFonts w:hint="eastAsia" w:ascii="宋体" w:hAnsi="Times New Roman" w:eastAsia="宋体" w:cs="Times New Roman"/>
          <w:color w:val="auto"/>
          <w:highlight w:val="none"/>
          <w:lang w:val="en-US" w:eastAsia="zh-CN"/>
        </w:rPr>
        <w:t>、验收</w:t>
      </w:r>
      <w:bookmarkEnd w:id="2"/>
      <w:bookmarkEnd w:id="3"/>
      <w:r>
        <w:rPr>
          <w:rFonts w:hint="eastAsia" w:ascii="宋体" w:hAnsi="Times New Roman" w:eastAsia="宋体" w:cs="Times New Roman"/>
          <w:color w:val="auto"/>
          <w:highlight w:val="none"/>
          <w:lang w:val="en-US" w:eastAsia="zh-CN"/>
        </w:rPr>
        <w:t xml:space="preserve">  </w:t>
      </w:r>
      <w:r>
        <w:rPr>
          <w:rFonts w:hint="eastAsia"/>
          <w:color w:val="auto"/>
          <w:highlight w:val="none"/>
        </w:rPr>
        <w:t xml:space="preserve">   </w:t>
      </w:r>
    </w:p>
    <w:p w14:paraId="5EC45AC7">
      <w:pPr>
        <w:keepNext w:val="0"/>
        <w:pageBreakBefore w:val="0"/>
        <w:kinsoku/>
        <w:overflowPunct/>
        <w:topLinePunct w:val="0"/>
        <w:bidi w:val="0"/>
        <w:snapToGrid/>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人对</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单位所供货物进行检验验收，如</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人所提供的产品验收不合格</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人有权终止合同并全部履约保证金不予退还，造成得所有损失由</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人承担。</w:t>
      </w:r>
    </w:p>
    <w:p w14:paraId="202B466D">
      <w:pPr>
        <w:pStyle w:val="4"/>
        <w:keepNext w:val="0"/>
        <w:keepLines/>
        <w:pageBreakBefore w:val="0"/>
        <w:widowControl w:val="0"/>
        <w:kinsoku/>
        <w:wordWrap w:val="0"/>
        <w:overflowPunct/>
        <w:topLinePunct w:val="0"/>
        <w:autoSpaceDE w:val="0"/>
        <w:autoSpaceDN w:val="0"/>
        <w:bidi w:val="0"/>
        <w:adjustRightInd w:val="0"/>
        <w:snapToGrid/>
        <w:spacing w:before="157" w:beforeLines="50" w:after="157" w:afterLines="50" w:line="440" w:lineRule="exact"/>
        <w:ind w:firstLine="422" w:firstLineChars="200"/>
        <w:textAlignment w:val="auto"/>
        <w:rPr>
          <w:rFonts w:hint="default" w:ascii="宋体" w:hAnsi="Times New Roman" w:eastAsia="宋体" w:cs="Times New Roman"/>
          <w:color w:val="auto"/>
          <w:highlight w:val="none"/>
          <w:lang w:val="en-US" w:eastAsia="zh-CN"/>
        </w:rPr>
      </w:pPr>
      <w:r>
        <w:rPr>
          <w:rFonts w:hint="eastAsia" w:hAnsi="Times New Roman" w:cs="Times New Roman"/>
          <w:color w:val="auto"/>
          <w:highlight w:val="none"/>
          <w:lang w:val="en-US" w:eastAsia="zh-CN"/>
        </w:rPr>
        <w:t>九</w:t>
      </w:r>
      <w:r>
        <w:rPr>
          <w:rFonts w:hint="eastAsia" w:ascii="宋体" w:hAnsi="Times New Roman" w:eastAsia="宋体" w:cs="Times New Roman"/>
          <w:color w:val="auto"/>
          <w:highlight w:val="none"/>
          <w:lang w:val="en-US" w:eastAsia="zh-CN"/>
        </w:rPr>
        <w:t>、</w:t>
      </w:r>
      <w:r>
        <w:rPr>
          <w:rFonts w:hint="eastAsia" w:cs="Times New Roman"/>
          <w:color w:val="auto"/>
          <w:highlight w:val="none"/>
          <w:lang w:val="en-US" w:eastAsia="zh-CN"/>
        </w:rPr>
        <w:t>报价要求</w:t>
      </w:r>
    </w:p>
    <w:p w14:paraId="774EF22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磋商响应人报价应包含本项目的货物供货、包装运输及保险、装卸、安装、调试、成品保护、考核验收、培训及交付后约定期限内免费维修保养服务等全部内容的所有费用，且需满足本项目小区二次供水的要求，采购人后期不另行增加任何费用，供应商应结合本项目特点及二次供水需要自行综合考虑。</w:t>
      </w:r>
    </w:p>
    <w:p w14:paraId="43B15D3D">
      <w:r>
        <w:rPr>
          <w:rFonts w:hint="eastAsia" w:ascii="宋体" w:hAnsi="宋体"/>
          <w:color w:val="auto"/>
          <w:szCs w:val="21"/>
          <w:highlight w:val="none"/>
          <w:lang w:val="en-US" w:eastAsia="zh-CN"/>
        </w:rPr>
        <w:t>所有货物供货、安装及调试完成，且经验收合格后付至合同总价的90%，余款二年后一次性付清。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6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2026-01-29T04:01:42Z</dcterms:created>
  <dc:creator>Lenovo</dc:creator>
  <cp:lastModifiedBy>WPS_1732971809</cp:lastModifiedBy>
  <dcterms:modified xsi:type="dcterms:W3CDTF">2026-01-29T04:02:56Z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eyJoZGlkIjoiNWYxYmJiY2M4MGE4NDlhOWVhYzk3YjI0NjBhN2VjYmUiLCJ1c2VySWQiOiIxNjYyMTY1ODQxIn0=</vt:lpwstr>
  </property>
  <property fmtid="{D5CDD505-2E9C-101B-9397-08002B2CF9AE}" pid="4" name="ICV">
    <vt:lpwstr>0D15A6A4D5354252B705BDBC9891C17D_12</vt:lpwstr>
  </property>
</Properties>
</file>