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88794">
      <w:pPr>
        <w:jc w:val="center"/>
        <w:rPr>
          <w:b/>
          <w:bCs/>
          <w:sz w:val="32"/>
          <w:szCs w:val="32"/>
        </w:rPr>
      </w:pPr>
      <w:r>
        <w:rPr>
          <w:rFonts w:hint="eastAsia"/>
          <w:b/>
          <w:bCs/>
          <w:sz w:val="32"/>
          <w:szCs w:val="32"/>
          <w:lang w:val="en-US" w:eastAsia="zh-CN"/>
        </w:rPr>
        <w:t>采购需求及</w:t>
      </w:r>
      <w:r>
        <w:rPr>
          <w:rFonts w:hint="eastAsia"/>
          <w:b/>
          <w:bCs/>
          <w:sz w:val="32"/>
          <w:szCs w:val="32"/>
        </w:rPr>
        <w:t>技术要求</w:t>
      </w:r>
    </w:p>
    <w:p w14:paraId="330F754A">
      <w:pPr>
        <w:jc w:val="left"/>
        <w:rPr>
          <w:b/>
          <w:bCs/>
          <w:sz w:val="32"/>
          <w:szCs w:val="32"/>
        </w:rPr>
      </w:pPr>
      <w:r>
        <w:rPr>
          <w:rFonts w:hint="eastAsia"/>
          <w:b/>
          <w:bCs/>
          <w:sz w:val="32"/>
          <w:szCs w:val="32"/>
        </w:rPr>
        <w:t>一：商务要求</w:t>
      </w:r>
    </w:p>
    <w:tbl>
      <w:tblPr>
        <w:tblStyle w:val="6"/>
        <w:tblW w:w="10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745"/>
        <w:gridCol w:w="7959"/>
      </w:tblGrid>
      <w:tr w14:paraId="59E8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04" w:type="dxa"/>
            <w:vAlign w:val="center"/>
          </w:tcPr>
          <w:p w14:paraId="547EE200">
            <w:pPr>
              <w:pStyle w:val="4"/>
              <w:spacing w:line="420" w:lineRule="exact"/>
              <w:jc w:val="center"/>
              <w:rPr>
                <w:rFonts w:cs="Wingdings" w:asciiTheme="minorEastAsia" w:hAnsiTheme="minorEastAsia"/>
                <w:b/>
                <w:sz w:val="24"/>
                <w:szCs w:val="24"/>
              </w:rPr>
            </w:pPr>
            <w:r>
              <w:rPr>
                <w:rFonts w:hint="eastAsia" w:cs="Wingdings" w:asciiTheme="minorEastAsia" w:hAnsiTheme="minorEastAsia"/>
                <w:b/>
                <w:sz w:val="24"/>
                <w:szCs w:val="24"/>
              </w:rPr>
              <w:t>序号</w:t>
            </w:r>
          </w:p>
        </w:tc>
        <w:tc>
          <w:tcPr>
            <w:tcW w:w="1745" w:type="dxa"/>
            <w:vAlign w:val="center"/>
          </w:tcPr>
          <w:p w14:paraId="079C3690">
            <w:pPr>
              <w:pStyle w:val="4"/>
              <w:spacing w:line="420" w:lineRule="exact"/>
              <w:jc w:val="center"/>
              <w:rPr>
                <w:sz w:val="24"/>
                <w:szCs w:val="24"/>
              </w:rPr>
            </w:pPr>
            <w:r>
              <w:rPr>
                <w:rFonts w:hint="eastAsia" w:asciiTheme="minorEastAsia" w:hAnsiTheme="minorEastAsia"/>
                <w:b/>
                <w:bCs/>
                <w:sz w:val="24"/>
                <w:szCs w:val="24"/>
              </w:rPr>
              <w:t>条款名称</w:t>
            </w:r>
          </w:p>
        </w:tc>
        <w:tc>
          <w:tcPr>
            <w:tcW w:w="7959" w:type="dxa"/>
            <w:vAlign w:val="center"/>
          </w:tcPr>
          <w:p w14:paraId="4932AD54">
            <w:pPr>
              <w:pStyle w:val="4"/>
              <w:spacing w:line="420" w:lineRule="exact"/>
              <w:jc w:val="center"/>
              <w:rPr>
                <w:rFonts w:cs="Wingdings" w:asciiTheme="minorEastAsia" w:hAnsiTheme="minorEastAsia"/>
                <w:b/>
                <w:sz w:val="24"/>
                <w:szCs w:val="24"/>
              </w:rPr>
            </w:pPr>
            <w:r>
              <w:rPr>
                <w:rFonts w:hint="eastAsia" w:cs="Wingdings" w:asciiTheme="minorEastAsia" w:hAnsiTheme="minorEastAsia"/>
                <w:b/>
                <w:sz w:val="24"/>
                <w:szCs w:val="24"/>
              </w:rPr>
              <w:t>具体要求内容</w:t>
            </w:r>
          </w:p>
        </w:tc>
      </w:tr>
      <w:tr w14:paraId="2E8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004" w:type="dxa"/>
            <w:vAlign w:val="center"/>
          </w:tcPr>
          <w:p w14:paraId="519816EE">
            <w:pPr>
              <w:spacing w:line="420" w:lineRule="exact"/>
              <w:jc w:val="center"/>
              <w:rPr>
                <w:rFonts w:ascii="仿宋" w:hAnsi="仿宋" w:eastAsia="仿宋" w:cs="仿宋"/>
                <w:b/>
                <w:bCs/>
                <w:sz w:val="24"/>
              </w:rPr>
            </w:pPr>
            <w:r>
              <w:rPr>
                <w:rFonts w:hint="eastAsia" w:ascii="仿宋" w:hAnsi="仿宋" w:eastAsia="仿宋" w:cs="仿宋"/>
                <w:b/>
                <w:bCs/>
                <w:sz w:val="24"/>
              </w:rPr>
              <w:t>1</w:t>
            </w:r>
          </w:p>
        </w:tc>
        <w:tc>
          <w:tcPr>
            <w:tcW w:w="1745" w:type="dxa"/>
            <w:vAlign w:val="center"/>
          </w:tcPr>
          <w:p w14:paraId="22E0BB24">
            <w:pPr>
              <w:spacing w:line="420" w:lineRule="exact"/>
              <w:jc w:val="center"/>
              <w:rPr>
                <w:rFonts w:ascii="仿宋" w:hAnsi="仿宋" w:eastAsia="仿宋" w:cs="仿宋"/>
                <w:b/>
                <w:bCs/>
                <w:sz w:val="24"/>
                <w:highlight w:val="none"/>
              </w:rPr>
            </w:pPr>
            <w:r>
              <w:rPr>
                <w:rFonts w:hint="eastAsia" w:ascii="仿宋" w:hAnsi="仿宋" w:eastAsia="仿宋" w:cs="仿宋"/>
                <w:b/>
                <w:bCs/>
                <w:sz w:val="24"/>
                <w:highlight w:val="none"/>
              </w:rPr>
              <w:t>付款方式</w:t>
            </w:r>
          </w:p>
        </w:tc>
        <w:tc>
          <w:tcPr>
            <w:tcW w:w="7959" w:type="dxa"/>
            <w:vAlign w:val="center"/>
          </w:tcPr>
          <w:p w14:paraId="7C6A6826">
            <w:pPr>
              <w:spacing w:line="420" w:lineRule="exact"/>
              <w:rPr>
                <w:rFonts w:ascii="仿宋" w:hAnsi="仿宋" w:eastAsia="仿宋" w:cs="仿宋"/>
                <w:b/>
                <w:bCs/>
                <w:sz w:val="24"/>
                <w:highlight w:val="none"/>
              </w:rPr>
            </w:pPr>
            <w:r>
              <w:rPr>
                <w:rFonts w:hint="eastAsia" w:ascii="仿宋" w:hAnsi="仿宋" w:eastAsia="仿宋" w:cs="仿宋"/>
                <w:b/>
                <w:bCs/>
                <w:sz w:val="24"/>
                <w:highlight w:val="none"/>
                <w:lang w:val="en-US" w:eastAsia="zh-CN"/>
              </w:rPr>
              <w:t>所有货物安装调试验收合格</w:t>
            </w:r>
            <w:r>
              <w:rPr>
                <w:rFonts w:hint="eastAsia" w:ascii="仿宋" w:hAnsi="仿宋" w:eastAsia="仿宋" w:cs="仿宋"/>
                <w:b/>
                <w:bCs/>
                <w:sz w:val="24"/>
                <w:highlight w:val="none"/>
              </w:rPr>
              <w:t>后</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支付合同价的</w:t>
            </w: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0%，剩余价款在验收合格</w:t>
            </w:r>
            <w:r>
              <w:rPr>
                <w:rFonts w:hint="eastAsia" w:ascii="仿宋" w:hAnsi="仿宋" w:eastAsia="仿宋" w:cs="仿宋"/>
                <w:b/>
                <w:bCs/>
                <w:sz w:val="24"/>
                <w:highlight w:val="none"/>
                <w:lang w:val="en-US" w:eastAsia="zh-CN"/>
              </w:rPr>
              <w:t>一年后</w:t>
            </w:r>
            <w:r>
              <w:rPr>
                <w:rFonts w:hint="eastAsia" w:ascii="仿宋" w:hAnsi="仿宋" w:eastAsia="仿宋" w:cs="仿宋"/>
                <w:b/>
                <w:bCs/>
                <w:sz w:val="24"/>
                <w:highlight w:val="none"/>
              </w:rPr>
              <w:t>一次性付清</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不计息</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w:t>
            </w:r>
          </w:p>
        </w:tc>
      </w:tr>
      <w:tr w14:paraId="4BD0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14:paraId="285DB8BB">
            <w:pPr>
              <w:spacing w:line="420" w:lineRule="exact"/>
              <w:jc w:val="center"/>
              <w:rPr>
                <w:rFonts w:ascii="仿宋" w:hAnsi="仿宋" w:eastAsia="仿宋" w:cs="仿宋"/>
                <w:b/>
                <w:bCs/>
                <w:sz w:val="24"/>
              </w:rPr>
            </w:pPr>
            <w:r>
              <w:rPr>
                <w:rFonts w:hint="eastAsia" w:ascii="仿宋" w:hAnsi="仿宋" w:eastAsia="仿宋" w:cs="仿宋"/>
                <w:b/>
                <w:bCs/>
                <w:sz w:val="24"/>
              </w:rPr>
              <w:t>2</w:t>
            </w:r>
          </w:p>
        </w:tc>
        <w:tc>
          <w:tcPr>
            <w:tcW w:w="1745" w:type="dxa"/>
            <w:vAlign w:val="center"/>
          </w:tcPr>
          <w:p w14:paraId="403CE873">
            <w:pPr>
              <w:spacing w:line="420" w:lineRule="exact"/>
              <w:jc w:val="center"/>
              <w:rPr>
                <w:rFonts w:ascii="仿宋" w:hAnsi="仿宋" w:eastAsia="仿宋" w:cs="仿宋"/>
                <w:b/>
                <w:bCs/>
                <w:sz w:val="24"/>
              </w:rPr>
            </w:pPr>
            <w:r>
              <w:rPr>
                <w:rFonts w:hint="eastAsia" w:ascii="仿宋" w:hAnsi="仿宋" w:eastAsia="仿宋" w:cs="仿宋"/>
                <w:b/>
                <w:bCs/>
                <w:sz w:val="24"/>
              </w:rPr>
              <w:t>服务地点</w:t>
            </w:r>
          </w:p>
        </w:tc>
        <w:tc>
          <w:tcPr>
            <w:tcW w:w="7959" w:type="dxa"/>
            <w:vAlign w:val="center"/>
          </w:tcPr>
          <w:p w14:paraId="7E7BBDCE">
            <w:pPr>
              <w:spacing w:line="420" w:lineRule="exact"/>
              <w:jc w:val="left"/>
              <w:rPr>
                <w:rFonts w:ascii="仿宋" w:hAnsi="仿宋" w:eastAsia="仿宋" w:cs="仿宋"/>
                <w:b/>
                <w:bCs/>
                <w:sz w:val="24"/>
              </w:rPr>
            </w:pPr>
            <w:r>
              <w:rPr>
                <w:rFonts w:hint="eastAsia" w:ascii="仿宋" w:hAnsi="仿宋" w:eastAsia="仿宋" w:cs="仿宋"/>
                <w:b/>
                <w:bCs/>
                <w:sz w:val="24"/>
              </w:rPr>
              <w:t>安庆市宜秀区实验小学</w:t>
            </w:r>
          </w:p>
        </w:tc>
      </w:tr>
      <w:tr w14:paraId="6AE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4" w:type="dxa"/>
            <w:vAlign w:val="center"/>
          </w:tcPr>
          <w:p w14:paraId="42879E0F">
            <w:pPr>
              <w:spacing w:line="420" w:lineRule="exact"/>
              <w:jc w:val="center"/>
              <w:rPr>
                <w:rFonts w:ascii="仿宋" w:hAnsi="仿宋" w:eastAsia="仿宋" w:cs="仿宋"/>
                <w:b/>
                <w:bCs/>
                <w:sz w:val="24"/>
              </w:rPr>
            </w:pPr>
            <w:r>
              <w:rPr>
                <w:rFonts w:hint="eastAsia" w:ascii="仿宋" w:hAnsi="仿宋" w:eastAsia="仿宋" w:cs="仿宋"/>
                <w:b/>
                <w:bCs/>
                <w:sz w:val="24"/>
              </w:rPr>
              <w:t>3</w:t>
            </w:r>
          </w:p>
        </w:tc>
        <w:tc>
          <w:tcPr>
            <w:tcW w:w="1745" w:type="dxa"/>
            <w:vAlign w:val="center"/>
          </w:tcPr>
          <w:p w14:paraId="4820226A">
            <w:pPr>
              <w:spacing w:line="420" w:lineRule="exact"/>
              <w:jc w:val="center"/>
              <w:rPr>
                <w:rFonts w:ascii="仿宋" w:hAnsi="仿宋" w:eastAsia="仿宋" w:cs="仿宋"/>
                <w:b/>
                <w:bCs/>
                <w:sz w:val="24"/>
              </w:rPr>
            </w:pPr>
            <w:r>
              <w:rPr>
                <w:rFonts w:hint="eastAsia" w:ascii="仿宋" w:hAnsi="仿宋" w:eastAsia="仿宋" w:cs="仿宋"/>
                <w:b/>
                <w:bCs/>
                <w:sz w:val="24"/>
              </w:rPr>
              <w:t>服务期限</w:t>
            </w:r>
          </w:p>
        </w:tc>
        <w:tc>
          <w:tcPr>
            <w:tcW w:w="7959" w:type="dxa"/>
            <w:vAlign w:val="center"/>
          </w:tcPr>
          <w:p w14:paraId="6B13039D">
            <w:pPr>
              <w:spacing w:line="420" w:lineRule="exact"/>
              <w:rPr>
                <w:rFonts w:ascii="仿宋" w:hAnsi="仿宋" w:eastAsia="仿宋" w:cs="仿宋"/>
                <w:b/>
                <w:bCs/>
                <w:sz w:val="24"/>
              </w:rPr>
            </w:pPr>
            <w:r>
              <w:rPr>
                <w:rFonts w:hint="eastAsia" w:ascii="仿宋" w:hAnsi="仿宋" w:eastAsia="仿宋" w:cs="仿宋"/>
                <w:b/>
                <w:bCs/>
                <w:sz w:val="24"/>
              </w:rPr>
              <w:t>运维服务期限为三年，项目完成供货安装调试完毕后，所有设备自验收合格之日起免费质保三年。</w:t>
            </w:r>
          </w:p>
        </w:tc>
      </w:tr>
    </w:tbl>
    <w:p w14:paraId="34DB3B1A">
      <w:pPr>
        <w:jc w:val="left"/>
        <w:rPr>
          <w:b/>
          <w:bCs/>
          <w:sz w:val="32"/>
          <w:szCs w:val="32"/>
        </w:rPr>
      </w:pPr>
      <w:r>
        <w:rPr>
          <w:rFonts w:hint="eastAsia"/>
          <w:b/>
          <w:bCs/>
          <w:sz w:val="32"/>
          <w:szCs w:val="32"/>
        </w:rPr>
        <w:t>二：技术要求</w:t>
      </w:r>
    </w:p>
    <w:tbl>
      <w:tblPr>
        <w:tblStyle w:val="7"/>
        <w:tblW w:w="10650"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718"/>
        <w:gridCol w:w="6355"/>
        <w:gridCol w:w="873"/>
        <w:gridCol w:w="791"/>
      </w:tblGrid>
      <w:tr w14:paraId="3AC7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125EB870">
            <w:pPr>
              <w:rPr>
                <w:b/>
                <w:bCs/>
              </w:rPr>
            </w:pPr>
            <w:r>
              <w:rPr>
                <w:rFonts w:hint="eastAsia"/>
                <w:b/>
                <w:bCs/>
              </w:rPr>
              <w:t>序号</w:t>
            </w:r>
          </w:p>
        </w:tc>
        <w:tc>
          <w:tcPr>
            <w:tcW w:w="1718" w:type="dxa"/>
          </w:tcPr>
          <w:p w14:paraId="0DC4B212">
            <w:pPr>
              <w:rPr>
                <w:b/>
                <w:bCs/>
              </w:rPr>
            </w:pPr>
            <w:r>
              <w:rPr>
                <w:rFonts w:hint="eastAsia"/>
                <w:b/>
                <w:bCs/>
              </w:rPr>
              <w:t>设备名称</w:t>
            </w:r>
          </w:p>
        </w:tc>
        <w:tc>
          <w:tcPr>
            <w:tcW w:w="6355" w:type="dxa"/>
          </w:tcPr>
          <w:p w14:paraId="22288DBF">
            <w:pPr>
              <w:rPr>
                <w:b/>
                <w:bCs/>
              </w:rPr>
            </w:pPr>
            <w:r>
              <w:rPr>
                <w:rFonts w:hint="eastAsia"/>
                <w:b/>
                <w:bCs/>
              </w:rPr>
              <w:t>技术参数</w:t>
            </w:r>
          </w:p>
        </w:tc>
        <w:tc>
          <w:tcPr>
            <w:tcW w:w="873" w:type="dxa"/>
          </w:tcPr>
          <w:p w14:paraId="464A1701">
            <w:pPr>
              <w:rPr>
                <w:b/>
                <w:bCs/>
              </w:rPr>
            </w:pPr>
            <w:r>
              <w:rPr>
                <w:rFonts w:hint="eastAsia"/>
                <w:b/>
                <w:bCs/>
              </w:rPr>
              <w:t>数量</w:t>
            </w:r>
          </w:p>
        </w:tc>
        <w:tc>
          <w:tcPr>
            <w:tcW w:w="791" w:type="dxa"/>
          </w:tcPr>
          <w:p w14:paraId="6DF48831">
            <w:pPr>
              <w:rPr>
                <w:b/>
                <w:bCs/>
              </w:rPr>
            </w:pPr>
            <w:r>
              <w:rPr>
                <w:rFonts w:hint="eastAsia"/>
                <w:b/>
                <w:bCs/>
              </w:rPr>
              <w:t>单位</w:t>
            </w:r>
          </w:p>
        </w:tc>
      </w:tr>
      <w:tr w14:paraId="79AC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gridSpan w:val="2"/>
          </w:tcPr>
          <w:p w14:paraId="1982B74A">
            <w:pPr>
              <w:jc w:val="center"/>
            </w:pPr>
            <w:r>
              <w:rPr>
                <w:rFonts w:hint="eastAsia"/>
                <w:b/>
                <w:bCs/>
              </w:rPr>
              <w:t>显示系统</w:t>
            </w:r>
          </w:p>
        </w:tc>
        <w:tc>
          <w:tcPr>
            <w:tcW w:w="6355" w:type="dxa"/>
          </w:tcPr>
          <w:p w14:paraId="6A643146"/>
        </w:tc>
        <w:tc>
          <w:tcPr>
            <w:tcW w:w="873" w:type="dxa"/>
          </w:tcPr>
          <w:p w14:paraId="4536C0BA"/>
        </w:tc>
        <w:tc>
          <w:tcPr>
            <w:tcW w:w="791" w:type="dxa"/>
          </w:tcPr>
          <w:p w14:paraId="3CAD9A66"/>
        </w:tc>
      </w:tr>
      <w:tr w14:paraId="3720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2B1508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18" w:type="dxa"/>
            <w:shd w:val="clear" w:color="auto" w:fill="auto"/>
            <w:vAlign w:val="center"/>
          </w:tcPr>
          <w:p w14:paraId="687061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室内2.5全彩显示屏</w:t>
            </w:r>
          </w:p>
        </w:tc>
        <w:tc>
          <w:tcPr>
            <w:tcW w:w="6355" w:type="dxa"/>
            <w:shd w:val="clear" w:color="auto" w:fill="auto"/>
            <w:vAlign w:val="center"/>
          </w:tcPr>
          <w:p w14:paraId="7E1974C4">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显示尺寸7.68M*4M=30.72平方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1.像素点间距：2.5mm，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2.像素密度160000点/㎡，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3、模组尺寸（mm）：约 320*160mm；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4、产品的外壳，机架等结构件在保证结构稳定的条件下，宜采用合符国家相关标准的轻质材料，以减少产品自身重量</w:t>
            </w:r>
          </w:p>
          <w:p w14:paraId="4C7854B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5、发光芯片按照共阴原理设计，LED 发光二极管公共端为阴极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6、显示单元亮度 ≥600cd/㎡，亮度调节 0-100%无极可调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7、亮度与视角关系（中央亮度=100cd/㎡白场），水平视角 80°时亮度衰减率≤10%，垂直视角60°时亮度衰减率≤10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8、采用真空吸盘维护工具，设备有任何硬件问题，能在不拆装的基础上，支持全前维护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9、LED线路板采用6层印制线路板,PCB表面沉金处理工艺，有效的去消隐、节能设计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10、支持通过实时智能分析算法，识别高亮画面，自动调整高亮亮度，解 决刺眼问题，提高人眼观看舒适度，并实现功耗降低 20%。支持通过实时智 能分析算法，提高图像动态范围，低灰部分更深邃，高灰部分更清澈，SDR 图像显示 HDR 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11、刷新率：3840HZ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12、屏体色温 ≥8500K</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★13、防止屏幕烫手，在常温27℃下全白场亮度600cd/㎡模式点亮2H，屏幕表面温度≤55℃</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14、静态对比度 ≥5000:1,动态对比度≥500000:1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15、通过 GB/T 2423.37-2006 4.2 沙尘试验，粒子尺寸＜75μm 的滑石粉， 尘降量 600g/（㎡·d），自由降尘，试验时间 8h，产品未发现尘沉积及侵入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16、模组支持带电维护，热插拔，更换模组支持自动校正。模组工作电压＜5V</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★17、为防止产品对其它设备的干扰，整机需通过EMC电磁兼容测试，符合国家标准GB/T 9254.1-2021 信息技术设备、多媒体设备和接收机 电磁兼容 第1部分：发射要求</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18、高低温性能：-30℃-70℃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★19、支持灯板熔断技术，当灯板出现短路的时候，灯板会自动保护，避免烧坏灯板上的元器件，造成更大损失</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20、峰值功率≤500W/㎡、平均功率≤215W/㎡</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21、带电黑屏功率：≤40W/㎡</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22、具备显示信息自动审核功能，防止显示不良信息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23、LED 显示屏供电电源的功率因数不小于 95%，转换效率不小于 86%，带有智能节电功能、带电黑屏节电功能，开启智能节电功能比没有开启节能 45%以上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★24、LED显示屏所有使用的各种材料和元器件，都应满足《SJ/T 11363-2006电子信息产品中有毒有害物质的限量要求》，铅、汞、六价铬、多溴联苯、多溴二苯醚（十溴二苯醚除外）的含量不应超过0.1%，镉的含量不应超过0.01%</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25、LED显示屏支持单点检测逐点校正功能，单点亮度校正，单点颜色校正；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26、在通电工作状态下进行扫频震动试验，频率范围为2Hz-150Hz；在2Hz-9Hz时按定位移控制，位移幅值3.5mm：9Hz-150Hz时按加速度控制，加速度幅值为10m/S²：2Hz-9Hz-150Hz-9Hz-2Hz为一个循环，共经历20个循环后，产品功能正常，结构不受影响，零部件无松动</w:t>
            </w:r>
            <w:r>
              <w:rPr>
                <w:rFonts w:hint="eastAsia" w:ascii="宋体" w:hAnsi="宋体" w:eastAsia="宋体" w:cs="宋体"/>
                <w:b/>
                <w:bCs/>
                <w:color w:val="000000"/>
                <w:kern w:val="0"/>
                <w:sz w:val="22"/>
                <w:szCs w:val="22"/>
                <w:lang w:bidi="ar"/>
              </w:rPr>
              <w:t>（合同签订前提供第三方检测机构出具的带有 CMA 标识的检测报告扫描件）</w:t>
            </w:r>
          </w:p>
        </w:tc>
        <w:tc>
          <w:tcPr>
            <w:tcW w:w="873" w:type="dxa"/>
            <w:shd w:val="clear" w:color="auto" w:fill="auto"/>
            <w:vAlign w:val="center"/>
          </w:tcPr>
          <w:p w14:paraId="64A034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30.72</w:t>
            </w:r>
          </w:p>
        </w:tc>
        <w:tc>
          <w:tcPr>
            <w:tcW w:w="791" w:type="dxa"/>
            <w:shd w:val="clear" w:color="auto" w:fill="auto"/>
            <w:vAlign w:val="center"/>
          </w:tcPr>
          <w:p w14:paraId="1716FC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平方</w:t>
            </w:r>
          </w:p>
        </w:tc>
      </w:tr>
      <w:tr w14:paraId="7CE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3DAD6B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718" w:type="dxa"/>
            <w:shd w:val="clear" w:color="auto" w:fill="auto"/>
            <w:vAlign w:val="center"/>
          </w:tcPr>
          <w:p w14:paraId="6455158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控制卡</w:t>
            </w:r>
          </w:p>
        </w:tc>
        <w:tc>
          <w:tcPr>
            <w:tcW w:w="6355" w:type="dxa"/>
            <w:shd w:val="clear" w:color="auto" w:fill="auto"/>
            <w:vAlign w:val="center"/>
          </w:tcPr>
          <w:p w14:paraId="44E5F25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1、单卡支持16组和32组数据输出模式；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2、单卡自带16个HUB75  16P接口；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3、单卡带载像素128*1024/256*512。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4、支持逐点亮色度校正、多批次、亮暗线调节和显示屏效果调节等功能，与3D控制器搭配支持3D效果；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5、支持接收卡预存画面和保留最后一帧设置；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6、支持灯板flash管理；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7、支持5pin液晶模块；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8、支持Mapping功能；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9、支持3D功能；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10、支持接收卡温度电压自检；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11、支持千兆网，可通过网线直接连接PC端进行调试和显示；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12、支持接收卡参数及程序包回读；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13、接收卡具有与灯板一致的电源接口；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★14、LED 显示智能检测及修复校正软件。</w:t>
            </w:r>
            <w:r>
              <w:rPr>
                <w:rFonts w:hint="eastAsia" w:ascii="宋体" w:hAnsi="宋体" w:eastAsia="宋体" w:cs="宋体"/>
                <w:b/>
                <w:bCs/>
                <w:color w:val="000000"/>
                <w:kern w:val="0"/>
                <w:sz w:val="22"/>
                <w:szCs w:val="22"/>
                <w:lang w:bidi="ar"/>
              </w:rPr>
              <w:t>（投标文件中提供第三方机构出具的软件著作权证书扫描件）</w:t>
            </w:r>
          </w:p>
        </w:tc>
        <w:tc>
          <w:tcPr>
            <w:tcW w:w="873" w:type="dxa"/>
            <w:shd w:val="clear" w:color="auto" w:fill="auto"/>
            <w:vAlign w:val="center"/>
          </w:tcPr>
          <w:p w14:paraId="09364B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68FEE8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14:paraId="612F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170E73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718" w:type="dxa"/>
            <w:shd w:val="clear" w:color="auto" w:fill="auto"/>
            <w:vAlign w:val="center"/>
          </w:tcPr>
          <w:p w14:paraId="39C0189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视频处理器</w:t>
            </w:r>
          </w:p>
        </w:tc>
        <w:tc>
          <w:tcPr>
            <w:tcW w:w="6355" w:type="dxa"/>
            <w:shd w:val="clear" w:color="auto" w:fill="auto"/>
            <w:vAlign w:val="center"/>
          </w:tcPr>
          <w:p w14:paraId="1CEC966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设备具备1路视频输出接口、1路3.5mm模拟音频输出、1路3.5mm反向模拟音频输入。6个USB接口、1路RJ45网络接口、1个RS232或485接口、1个IR接口，除USB接口外其余所有接口均在设备同一侧，便于设备连接、布线与维护</w:t>
            </w:r>
            <w:r>
              <w:rPr>
                <w:rFonts w:hint="eastAsia" w:ascii="宋体" w:hAnsi="宋体" w:eastAsia="宋体" w:cs="宋体"/>
                <w:b/>
                <w:bCs/>
                <w:color w:val="000000"/>
                <w:kern w:val="0"/>
                <w:sz w:val="22"/>
                <w:szCs w:val="22"/>
                <w:lang w:bidi="ar"/>
              </w:rPr>
              <w:t>（投标文件中提供上述功能接口图）</w:t>
            </w:r>
            <w:r>
              <w:rPr>
                <w:rFonts w:hint="eastAsia" w:ascii="宋体" w:hAnsi="宋体" w:eastAsia="宋体" w:cs="宋体"/>
                <w:b/>
                <w:bCs/>
                <w:color w:val="000000"/>
                <w:kern w:val="0"/>
                <w:sz w:val="22"/>
                <w:szCs w:val="22"/>
                <w:lang w:bidi="ar"/>
              </w:rPr>
              <w:br w:type="textWrapping"/>
            </w:r>
            <w:r>
              <w:rPr>
                <w:rFonts w:hint="eastAsia" w:ascii="宋体" w:hAnsi="宋体" w:eastAsia="宋体" w:cs="宋体"/>
                <w:color w:val="000000"/>
                <w:kern w:val="0"/>
                <w:sz w:val="22"/>
                <w:szCs w:val="22"/>
                <w:lang w:bidi="ar"/>
              </w:rPr>
              <w:t>2、支持3840x2160P@60Hz，1920x1200@60Hz、1920x1080P@60Hz等分辨率的解码和输出显示，并可向下兼容常见分辨率。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3、前面板显示屏可显示设备IP地址、设备型号，设备具有电源、网络连接、运行状态和故障指示灯。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4、支持音视频独立传输，切换。音频可与视频同源或不同源，在无视频接入的情况下音频也可正常传输。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5、★支持针对来自同一台电脑不同接口输出的多路画面，在拼接显示时仍能实时同步显示。保障超高分画面的大屏整体显示效果。</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6、支持大屏高清滚动字幕显示，可自定义字幕内容、字体、大小、延时、位置、运动方向和移动速度。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7、★单个屏组可容纳屏幕数量无限制，可无缝对接LED、LCD、DLP、投影融合各种拼接大显示系统，支持拼接补偿和移动补偿功能，无同步误差，且共享输入信号源。</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8、支持将常用的信号源窗口布局保存为预案进行存储与快速调取，可保存的预案不少于12800个，并支持预案轮巡功能。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9、支持预操作模式，画面调整过程不会在大屏实时显示。点击推屏按钮时，可将调整好的布局一键上屏显示，防止误操作产生。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10、支持任意调整窗口大小、窗口可在多个显示器的任意位置移动、窗口可互相叠加实现画中画显示</w:t>
            </w:r>
          </w:p>
        </w:tc>
        <w:tc>
          <w:tcPr>
            <w:tcW w:w="873" w:type="dxa"/>
            <w:shd w:val="clear" w:color="auto" w:fill="auto"/>
            <w:vAlign w:val="center"/>
          </w:tcPr>
          <w:p w14:paraId="7F4CFB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2B86AC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r>
      <w:tr w14:paraId="500F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4C279A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718" w:type="dxa"/>
            <w:shd w:val="clear" w:color="auto" w:fill="auto"/>
            <w:vAlign w:val="center"/>
          </w:tcPr>
          <w:p w14:paraId="37F9837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开关电源</w:t>
            </w:r>
          </w:p>
        </w:tc>
        <w:tc>
          <w:tcPr>
            <w:tcW w:w="6355" w:type="dxa"/>
            <w:shd w:val="clear" w:color="auto" w:fill="auto"/>
            <w:vAlign w:val="center"/>
          </w:tcPr>
          <w:p w14:paraId="41E5DDA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输入电压范围： 176～264VAC  额定输出电压：5VDC</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纹波和噪声：150mVp-p</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过载保护：额定负载的110~150%范围内电源保护，去载恢复正常输出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短路保护：输出端短路时电源保护，输出关断，去掉短路恢复正常输出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抗电强度：I/P-O/P、I/P-FG：1.5KVAC    O/P-FG：0.5KVAC</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绝缘电阻：I/P-O/P、I/P-FG、O/P-FG：100MΩ/500VDC</w:t>
            </w:r>
          </w:p>
        </w:tc>
        <w:tc>
          <w:tcPr>
            <w:tcW w:w="873" w:type="dxa"/>
            <w:shd w:val="clear" w:color="auto" w:fill="auto"/>
            <w:vAlign w:val="center"/>
          </w:tcPr>
          <w:p w14:paraId="515463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69FD73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14:paraId="723C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16237C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718" w:type="dxa"/>
            <w:shd w:val="clear" w:color="auto" w:fill="auto"/>
            <w:vAlign w:val="center"/>
          </w:tcPr>
          <w:p w14:paraId="3FB8B27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多媒体播放系统</w:t>
            </w:r>
          </w:p>
        </w:tc>
        <w:tc>
          <w:tcPr>
            <w:tcW w:w="6355" w:type="dxa"/>
            <w:shd w:val="clear" w:color="auto" w:fill="auto"/>
            <w:vAlign w:val="center"/>
          </w:tcPr>
          <w:p w14:paraId="0532570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1、中控及主机集成一体化，内置网络控制交换机模块，必须能够连接以太网，支持TCP/IP控制协议，可以通过手机、平板、电脑等智能设备进行远程控制管理；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2、智能模块主板搭载四核以上专用工业处理器，极速开机系统，支持硬盘防护功能及一键还原系统。VGA及HDMI接口可同步复制输出1080P高清画面，能实现键盘鼠标等输入设备控制；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3、电源输入处配置过载保护（保险丝），工作电压：220V、60Hz。内置防浪涌冲击装置，工作温度：-28℃~53℃。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4★、工作电压220V/50Hz，支持7×24小时连续无故障稳定工作。内置防浪涌装置，防浪涌（冲击）抗扰度试验、按键寿命3万次及≥15000小时无故障时间</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5、接口配置：VGA输出接口≥1，音频输出≥1，HDMI输出≥1，网络接口≥2路，USB口≥2个，RS232控制接口≥1；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6、配置1路稳压延时反向电源，设备开启时，可同步开启外设（视频处理器，拼接器、功放、显示屏等），反之关闭时也会关闭。并同步设推送开、关机执行信息给管理人员；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7、设备具有专属二维码，与系统软件编码、移动客户端二维码实现三码统一。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8★、管理者可在智能设备网页或客户端实时查看对应授权设备的工作状态，如设备开、关机状态，当前节目播放列表，实时播放内容监控，加强管理者对设备稳定运行安全保障。</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1、支持对系统盘里的文件进行编辑上传及U盘上传节目，速度不少于10M/秒；防止无播放指令节目误播，增加U盘节目单安全认证功能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2、自设置安全管理密码，播放节目需密码认证成功后才能执行，确保播放及设置的安全性；在操作界面可看到当前节目播放排序，并可根据需求对播放内容进行日志回访。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3、保障高清片源播放的流畅性，加载播放解码设置，可对多种格式的（mp4/mov/wmv/avi/rmvb/flv等）进行自动解码导播。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4、播放单个1080P视频时，CPU占有量不超过30%；多个1080P视频同步播放时，CPU占有量不超过60%。权限员可通过操作界面进行触摸式管理（暂停、快进、快退、停止等功能），可同步调节音源大小。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5、支持PPT满屏输出到显示界面，授权手机近距离可对PPT内容进行向左、向右翻页。</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节目自动归类，节目播放可对（TXT、JPG、PPT、MP4等格式）自由组合，并可生成节目单，单个节目停留时间实现差异化设置。任意节目切换速度0.1秒之内，节目切换无黑屏，播放节目可执行暂停、停止、继续等命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7、内设权限级别划分功能，认证操作员信息方可进行解、授权指令，以确保设备授权的安全性。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8、智能管理安全保障，支持本地、局域网、广域网扫码认证等多种智控模式，管理者异地状态下，可通过APP客户端开启紧急管理模式，进行远程管理达到本地管理同等操作功能。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9、可设置单或多时段执行开、关设备任务（每星期/每天）。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定播放节目时，如设备处于关机状态，则在播放节目前一分钟设备自动开启，并在任务结束后自动关闭设备。在任意地方登录设备（无须安装任意软件），授权手机通过扫码验证，可实时查看设备运行状态及播放节目列表。并可以开、关机整套设备，上传播放内容。</w:t>
            </w:r>
            <w:r>
              <w:rPr>
                <w:rFonts w:hint="eastAsia" w:ascii="宋体" w:hAnsi="宋体" w:eastAsia="宋体" w:cs="宋体"/>
                <w:b/>
                <w:bCs/>
                <w:color w:val="000000"/>
                <w:kern w:val="0"/>
                <w:sz w:val="22"/>
                <w:szCs w:val="22"/>
                <w:lang w:bidi="ar"/>
              </w:rPr>
              <w:t>（投标文件中提供上述功能应用截图）</w:t>
            </w:r>
            <w:r>
              <w:rPr>
                <w:rFonts w:hint="eastAsia" w:ascii="宋体" w:hAnsi="宋体" w:eastAsia="宋体" w:cs="宋体"/>
                <w:color w:val="000000"/>
                <w:kern w:val="0"/>
                <w:sz w:val="22"/>
                <w:szCs w:val="22"/>
                <w:lang w:bidi="ar"/>
              </w:rPr>
              <w:br w:type="textWrapping"/>
            </w:r>
            <w:r>
              <w:rPr>
                <w:rFonts w:hint="eastAsia" w:ascii="宋体" w:hAnsi="宋体" w:eastAsia="宋体" w:cs="宋体"/>
                <w:b/>
                <w:bCs/>
                <w:color w:val="000000"/>
                <w:kern w:val="0"/>
                <w:sz w:val="22"/>
                <w:szCs w:val="22"/>
                <w:lang w:bidi="ar"/>
              </w:rPr>
              <w:t>10、为保障产品的稳定运行，生产商在响应文件中提供5年免费系统升级维护承诺书，格式自拟。</w:t>
            </w:r>
          </w:p>
        </w:tc>
        <w:tc>
          <w:tcPr>
            <w:tcW w:w="873" w:type="dxa"/>
            <w:shd w:val="clear" w:color="auto" w:fill="auto"/>
            <w:vAlign w:val="center"/>
          </w:tcPr>
          <w:p w14:paraId="071A0D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6EA75F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r>
      <w:tr w14:paraId="5417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0194D1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718" w:type="dxa"/>
            <w:shd w:val="clear" w:color="auto" w:fill="auto"/>
            <w:vAlign w:val="center"/>
          </w:tcPr>
          <w:p w14:paraId="7733EF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钢结构</w:t>
            </w:r>
          </w:p>
        </w:tc>
        <w:tc>
          <w:tcPr>
            <w:tcW w:w="6355" w:type="dxa"/>
            <w:shd w:val="clear" w:color="auto" w:fill="auto"/>
            <w:vAlign w:val="center"/>
          </w:tcPr>
          <w:p w14:paraId="10F0404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50*100mm镀锌方钢、 40*40mm镀锌方钢，国标50*50mm的角钢，安装龙骨国标40*40*3mm方管，采用标准的（国标）的异型304不锈钢进行干挂包边处理，尺寸：6.50m*3.30m</w:t>
            </w:r>
          </w:p>
        </w:tc>
        <w:tc>
          <w:tcPr>
            <w:tcW w:w="873" w:type="dxa"/>
            <w:shd w:val="clear" w:color="auto" w:fill="auto"/>
            <w:vAlign w:val="center"/>
          </w:tcPr>
          <w:p w14:paraId="71049DC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1CB76B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14:paraId="2E93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770FD3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718" w:type="dxa"/>
            <w:shd w:val="clear" w:color="auto" w:fill="auto"/>
            <w:vAlign w:val="center"/>
          </w:tcPr>
          <w:p w14:paraId="2578D3C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智能安全配电系统</w:t>
            </w:r>
          </w:p>
        </w:tc>
        <w:tc>
          <w:tcPr>
            <w:tcW w:w="6355" w:type="dxa"/>
            <w:shd w:val="clear" w:color="auto" w:fill="auto"/>
            <w:vAlign w:val="center"/>
          </w:tcPr>
          <w:p w14:paraId="60B6C32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采用三相五线制供电,控制箱工业系统控制，为了降低电网的瞬间启动电流，应具有延时通断电功能，具有过热、过湿、过压、过流、短路等保护装置，远程开关显示屏电源、智能开关降温设备（使屏幕达到合理温度、减少功耗）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采用业界领先的非制冷氧化钒焦平面探测器，灵敏度高，支持火点探测报警、吸烟等多种智能功能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测温范围-20℃~+150℃，精度 Max（±5℃，±5%）。支持 IP67 防护等级。 支持声光报警，支持双目融合，达到消防安全保障。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★测温一致性检验：将黑体温度设置为35℃，在画面的中心及4个角落区域的测温一致性应位于[-0.1℃-0.1℃]范围内；</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★火点检测功能检验：热成像通道：样机应具有火点检测功能，可检测视频画面中的多个火点，并可联动报警和声光告警（合同签订前提供第三方检测机构出具的带有</w:t>
            </w:r>
            <w:r>
              <w:rPr>
                <w:rFonts w:hint="eastAsia" w:ascii="宋体" w:hAnsi="宋体" w:eastAsia="宋体" w:cs="宋体"/>
                <w:b/>
                <w:bCs/>
                <w:color w:val="000000"/>
                <w:kern w:val="0"/>
                <w:sz w:val="22"/>
                <w:szCs w:val="22"/>
                <w:lang w:bidi="ar"/>
              </w:rPr>
              <w:t>（合同签订前提供第三方检测机构出具的带有 CMA 标识的检测报告扫描件）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测温功能检验：测温范围：低温模式：可设置为-40℃到150℃,高温模式可设置为0℃-760℃；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★温服修正：可设置相对湿度、大气温度、目标辐射系数、目标距离、目标反射湿度，并调节目标测温数值；</w:t>
            </w:r>
            <w:r>
              <w:rPr>
                <w:rFonts w:hint="eastAsia" w:ascii="宋体" w:hAnsi="宋体" w:eastAsia="宋体" w:cs="宋体"/>
                <w:b/>
                <w:bCs/>
                <w:color w:val="000000"/>
                <w:kern w:val="0"/>
                <w:sz w:val="22"/>
                <w:szCs w:val="22"/>
                <w:lang w:bidi="ar"/>
              </w:rPr>
              <w:t>（合同签订前提供第三方检测机构出具的带有 CMA 标识的检测报告扫描件）</w:t>
            </w:r>
          </w:p>
        </w:tc>
        <w:tc>
          <w:tcPr>
            <w:tcW w:w="873" w:type="dxa"/>
            <w:shd w:val="clear" w:color="auto" w:fill="auto"/>
            <w:vAlign w:val="center"/>
          </w:tcPr>
          <w:p w14:paraId="7D065D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267675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14:paraId="14DB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55016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718" w:type="dxa"/>
            <w:shd w:val="clear" w:color="auto" w:fill="auto"/>
            <w:vAlign w:val="center"/>
          </w:tcPr>
          <w:p w14:paraId="1BA6331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大屏系统辅材</w:t>
            </w:r>
          </w:p>
        </w:tc>
        <w:tc>
          <w:tcPr>
            <w:tcW w:w="6355" w:type="dxa"/>
            <w:shd w:val="clear" w:color="auto" w:fill="auto"/>
            <w:vAlign w:val="center"/>
          </w:tcPr>
          <w:p w14:paraId="56FE1E1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控制信号线、连接线、接头、插头等与屏体配套的相关辅材。</w:t>
            </w:r>
          </w:p>
        </w:tc>
        <w:tc>
          <w:tcPr>
            <w:tcW w:w="873" w:type="dxa"/>
            <w:shd w:val="clear" w:color="auto" w:fill="auto"/>
            <w:vAlign w:val="center"/>
          </w:tcPr>
          <w:p w14:paraId="6D2459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0AC675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14:paraId="7A99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gridSpan w:val="2"/>
          </w:tcPr>
          <w:p w14:paraId="44AFB44F">
            <w:pPr>
              <w:jc w:val="center"/>
            </w:pPr>
            <w:r>
              <w:rPr>
                <w:rFonts w:hint="eastAsia"/>
                <w:b/>
                <w:bCs/>
              </w:rPr>
              <w:t>扩声系统</w:t>
            </w:r>
          </w:p>
        </w:tc>
        <w:tc>
          <w:tcPr>
            <w:tcW w:w="6355" w:type="dxa"/>
          </w:tcPr>
          <w:p w14:paraId="6BC56395"/>
        </w:tc>
        <w:tc>
          <w:tcPr>
            <w:tcW w:w="873" w:type="dxa"/>
          </w:tcPr>
          <w:p w14:paraId="4DC042D8"/>
        </w:tc>
        <w:tc>
          <w:tcPr>
            <w:tcW w:w="791" w:type="dxa"/>
          </w:tcPr>
          <w:p w14:paraId="02EAEFC8"/>
        </w:tc>
      </w:tr>
      <w:tr w14:paraId="0ACC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4DDD5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18" w:type="dxa"/>
            <w:shd w:val="clear" w:color="auto" w:fill="auto"/>
            <w:vAlign w:val="center"/>
          </w:tcPr>
          <w:p w14:paraId="0180C161">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调音台</w:t>
            </w:r>
          </w:p>
        </w:tc>
        <w:tc>
          <w:tcPr>
            <w:tcW w:w="6355" w:type="dxa"/>
            <w:shd w:val="clear" w:color="auto" w:fill="auto"/>
            <w:vAlign w:val="center"/>
          </w:tcPr>
          <w:p w14:paraId="39F84D81">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产品特点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1.4个单音输入带有XLR和平衡。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2.4个立体声输入带有平衡的TRS。</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3.对单音通道的燥音控制和+48V幻象电源。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4.两个Track输入/输出带有减少开关旋转控制室和主混和。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5.24个内部DSP带有100种效果器。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6.支持所有单音通道的3段均衡器。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设备参数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1.输入通道：4路（4个卡侬接口）；4路单插单声道/立体声自动切换混合接口；1路CD/TAPE RCA立体声输入接口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2.输出通道：1组主卡侬输出；1组辅助单插接口输出，1路耳机输出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3.频率响应：20Hz-20kHz，±2dB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4.失真度：&lt;0.003%（A-weighted）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5.麦克风均衡输入噪音：-119dB（A-weighted）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6.共模抑制比：60dB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7.单通道输入增益：MIC:0 to 48dB，LINE:-33 to+15dB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8.立体通道输入增益：LINE:-8 to+6dB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9.主混音串音：-87dBu（A-weighted）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10.通道串音：-85dBu（A-weighted）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11.电平表：2x4-点距LED电平指示表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12.最大输出水平：+20dBu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13.MIC输入高通滤波：75Hz，18dB/oct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14.单通道均衡：高频:±15dB@12KHz；中频:±12dB@2.5KHz；低频:±15dB@80Hz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15.电源：外接18AC（AC 230-240V 50/60Hz）电源适配器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16.尺寸（L×W×H）：317.2×287.1×66mm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17.重量：1.9Kg</w:t>
            </w:r>
          </w:p>
        </w:tc>
        <w:tc>
          <w:tcPr>
            <w:tcW w:w="873" w:type="dxa"/>
            <w:shd w:val="clear" w:color="auto" w:fill="auto"/>
            <w:vAlign w:val="center"/>
          </w:tcPr>
          <w:p w14:paraId="3493710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210AD02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台</w:t>
            </w:r>
          </w:p>
        </w:tc>
      </w:tr>
      <w:tr w14:paraId="36A2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442DE4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718" w:type="dxa"/>
            <w:shd w:val="clear" w:color="auto" w:fill="auto"/>
            <w:vAlign w:val="center"/>
          </w:tcPr>
          <w:p w14:paraId="0DB25424">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纯后级功放</w:t>
            </w:r>
          </w:p>
        </w:tc>
        <w:tc>
          <w:tcPr>
            <w:tcW w:w="6355" w:type="dxa"/>
            <w:shd w:val="clear" w:color="auto" w:fill="auto"/>
            <w:vAlign w:val="center"/>
          </w:tcPr>
          <w:p w14:paraId="42469C83">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产品说明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1.是一款开关电源单通道大功率纯后级广播功放。全新第三代D类数字功放技术，高效功率放大电路设计。内置PFC电路和软开关电源技术，开关机自动软启动控制，达到92%的超高系统效率。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2.新型功放电路，零交越失真，保证信号在放大过程中的质量无损。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基本参数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1.总谐波失真：1kHz时0.5%, 1/3 输出功率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2.整机功耗：200W（依据GB4943.1-2022测试手法:在1kHz正弦波额定负载1/8功率条件下测得）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3.用途：为广播系统提供区域功率放大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4.扬声器输出模式：4-16Ω,100V</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5.信噪比：&gt;90dB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6.外观：采用2U精简黑色氧化铝拉丝面板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7.输入灵敏度 &amp; 输入阻抗：775mV/10KΩ, 平衡 XLR/TRS接口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8.输出灵敏度 &amp; 输出源阻抗：775mV/470Ω, 平衡 XLR 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9.适用范围：适用于较大区域范围的广播扩声，如中大型学校、大厦，会所，场所酒吧，公园等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10.散热：具有良好的管道式散热结构，内置自动温度控制风扇冷却系统；由前往后强制风冷，散热器温度45度时启动内置风扇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11.频率响应：80Hz~16kHz(+1dB, -3dB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12.内置智能削顶失真和过流压限系统：能有效保护扬声器单元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13.净重：8.6kg</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14.接口：1通道LINE不平衡TRS/XLR高品质多功能输入接口，1通道LINE平衡XLR级联输出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15.额定输出功率：1000W</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16.电源：~220V/50Hz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17.尺寸：484x398x88mm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18.保护：具有过热、过载、过温、过压、欠压、过流、短路多重智能检测保护系统</w:t>
            </w:r>
          </w:p>
        </w:tc>
        <w:tc>
          <w:tcPr>
            <w:tcW w:w="873" w:type="dxa"/>
            <w:shd w:val="clear" w:color="auto" w:fill="auto"/>
            <w:vAlign w:val="center"/>
          </w:tcPr>
          <w:p w14:paraId="1A2B1BD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34B35AB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台</w:t>
            </w:r>
          </w:p>
        </w:tc>
      </w:tr>
      <w:tr w14:paraId="2BF6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0EAA1A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718" w:type="dxa"/>
            <w:shd w:val="clear" w:color="auto" w:fill="auto"/>
            <w:vAlign w:val="center"/>
          </w:tcPr>
          <w:p w14:paraId="53C033FC">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无线话筒</w:t>
            </w:r>
          </w:p>
        </w:tc>
        <w:tc>
          <w:tcPr>
            <w:tcW w:w="6355" w:type="dxa"/>
            <w:shd w:val="clear" w:color="auto" w:fill="auto"/>
            <w:vAlign w:val="center"/>
          </w:tcPr>
          <w:p w14:paraId="0BB4CB8A">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产品功能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1.基于数字U段的传输技术，pi/4-DQPSK调制方式，采用国产主控芯片，传输距离80米，具有抗干扰能力强，ID码导频技术防同频串音、可扫频避开干扰等优点。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2.具有混响、均衡、智能静音、音频加密、功率调节功能。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3.具有多频段均衡调节功能，均衡调节2197种，麦克风均衡器调节功能，具有高、中、低音三种调节档位，每种效果支持13档调节。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4.具有自动静音功能，麦克风跌落、抛掷时，毫秒级自动静音，避免冲击声；实时监测设备姿态，静置5秒静音，8分钟关机，无需手动干预。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5.具有自动频率扫描功能，可快速地给发射机找到清晰的频率，操作简单。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6.具有通过红外扫描和同步，将发射机与接收机轻松配对。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7.具有多档位混响调节功能，混响效果15625个，效果占比、回响延时、混响幅度调节，三种音效各具有25档调节方式。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8.具有1台接收主机、2只手持发射机；频率范围470MHz-510MHz、540MHz-590MHz、640MHz-690MHz、807MHz-830MHz四个频段使用。发射机采用符合人体工学设计，外形圆润贴合手部曲线，握感舒适。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9.具有ID码防串扰功能，采用32位唯一ID码，用于接收和发射配对，收发ID码必须相同才能对码，能够有效防止相同频率的信号相互串台。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10.具有两路平衡输出、一路非平衡混音输出。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11.具有一键静音按键，麦克风支持双击静音且可以通过接收机取消麦克风静音功能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12.发射机电量过低时接收机显示屏会进行低电提醒。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13.发射机功率档位支持7档可调节。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14.接收机采用TFT-LCD显示屏，具有开机启动、频率扫描全程动态画面展示，为用户提供直观清晰的操作界面。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15.具有长时间续航，发射机使用时长10小时。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16.发射机具有1个OLED显示屏，能够显示频率信息、音频加密状态、功率挡位、静音状态、电量格数信息；1个开关机/静音按键、2个工作状态指示灯。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接收机前面板具有2个2.2英寸的TFT-LCD显示屏、2个编码旋钮、2个频率扫描实体按键、2个红外对频实体按键、1个电源开关按键、1个二合一指示灯（红外发射管+对频指示灯）；后面板具有1个LINE-OUT接口、2个XLR-OUT接口、2个BNC接口、1个DC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基本参数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接收机参数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1.显示屏：2.2英寸TFT-LCD屏，显示信息更细腻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2.最大输出：平衡输出500mV，非平衡输出1000mV</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3.接收灵敏度：＜-95dBm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4.天线接口：BNC/50Ω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5.电源：DC 12V/1A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6.工作电流：≤320mA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7.产品体积(L*W*H)：443×212×44mm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8.产品重量：2.225kg</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发射机参数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1.显示屏：采用OLED显示，可轻松获取设备当前信息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2.音头：动圈式麦克风（双手持话筒）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3.咪芯：采用高还原动圈咪芯，专业音腔设计，音质呈现自然原声。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4.发射功率：可调，按需调节发射功率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5.电池：2×1.5V(AA)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6.电池使用时长：&gt;10H</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7.输出功率：≥10dBm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8.工作电流：≤200mA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9.产品体积(包括话筒头)：245mm*39mm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10.产品重量：0.4kg(含电池)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系统指标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1.系统配套：一台主机+双手持无线话筒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2.加密会议：采用独有的加密方式进行音频传输，保障会议内容安全。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3.导频技术：采用独有的ID码导频技术，可防止出现串频干扰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4.低功耗：采用低功耗设计，最大可连续发言时长大于10小时。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5.自动静音：具有自动静音功能，麦克风跌落、抛掷时，毫秒级响应自动静音，避免冲击声；静置5秒自动静音、8分钟自动关机。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6.频率范围：470MHz-510MHz、540MHz-590MHz、640MHz-690MHz、807MHz-830MHz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7.调制方式：pi/4-DQPSK</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8.频率响应：20Hz~20kHz （±3dB）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9.信噪比：≥105dB（XLR）</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10.THD+N：＜0.1%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11.工作距离：约80m</w:t>
            </w:r>
          </w:p>
        </w:tc>
        <w:tc>
          <w:tcPr>
            <w:tcW w:w="873" w:type="dxa"/>
            <w:shd w:val="clear" w:color="auto" w:fill="auto"/>
            <w:vAlign w:val="center"/>
          </w:tcPr>
          <w:p w14:paraId="702263F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79A438D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套</w:t>
            </w:r>
          </w:p>
        </w:tc>
      </w:tr>
      <w:tr w14:paraId="39C1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7BB89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718" w:type="dxa"/>
            <w:shd w:val="clear" w:color="auto" w:fill="auto"/>
            <w:vAlign w:val="center"/>
          </w:tcPr>
          <w:p w14:paraId="5D6082BB">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天线放大器</w:t>
            </w:r>
          </w:p>
        </w:tc>
        <w:tc>
          <w:tcPr>
            <w:tcW w:w="6355" w:type="dxa"/>
            <w:shd w:val="clear" w:color="auto" w:fill="auto"/>
            <w:vAlign w:val="center"/>
          </w:tcPr>
          <w:p w14:paraId="31A9626E">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产品特点：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1.通过增加接收机和天线之间缆线的容许长度，使无线安装过程更为灵活。天线可放置在更靠近舞台的位置，或安装在天花板和墙壁上，以保持与发射机更好的视距。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2.可以将低功率射频信号转化为较高功率的信号，用于延长天线到接收机的传输，补充线损。能有效增加接收距离及信号传输稳定性。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3.设计用于在较宽的带宽下提供 20dB 增益，并同时保持较低的噪声系数稳定。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技术参数：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1.端子 ：BNC</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2.供电：12V DC/1A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3.外形尺寸（L×W×H）：70×68×26mm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4.重量：0.17kg</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5.电压驻波比：输入小于3:1；输出小于3:1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6.增益：20dB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7.频率范围 ：470MHZ-950MHZ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8.噪声：2dB</w:t>
            </w:r>
          </w:p>
        </w:tc>
        <w:tc>
          <w:tcPr>
            <w:tcW w:w="873" w:type="dxa"/>
            <w:shd w:val="clear" w:color="auto" w:fill="auto"/>
            <w:vAlign w:val="center"/>
          </w:tcPr>
          <w:p w14:paraId="234AFC6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5520055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套</w:t>
            </w:r>
          </w:p>
        </w:tc>
      </w:tr>
      <w:tr w14:paraId="5F94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0862FA4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718" w:type="dxa"/>
            <w:shd w:val="clear" w:color="auto" w:fill="auto"/>
            <w:vAlign w:val="center"/>
          </w:tcPr>
          <w:p w14:paraId="06A57906">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话筒天线</w:t>
            </w:r>
          </w:p>
        </w:tc>
        <w:tc>
          <w:tcPr>
            <w:tcW w:w="6355" w:type="dxa"/>
            <w:shd w:val="clear" w:color="auto" w:fill="auto"/>
            <w:vAlign w:val="center"/>
          </w:tcPr>
          <w:p w14:paraId="0E47E665">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技术参数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1.天线接收范围：在有源的状态下，天线在直线距离可接收约 100-150 米的信号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2.天线频率范围：470～950MHz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3.天线驻波比：≤2.0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4.天线极化方式：线极化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5.净重：净重：338±5g</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6.最大增益：7.5dBi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7.输入阻抗：50Ω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8.工作温度：-18～+63℃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9.天线尺寸：305×290×35.3mm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10.放大器OIP3：＞38dBm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11.功能特点：天线带有放大器增益调节档位，具有当放大倍数超高时，可通过调节降低档位来防止自激现象，且有信号过强提示灯，指示灯阈值：-5dBm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12.放大器增益档位：4个（-6dB、0dB、6dB、12dB）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13.连接器端口：BNC 接头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14.安装方式：指向性天线安装方便，简易，有适当防水功能。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15.指向性：90°指向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16.供电电压：DC 8～12V</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17.供电方式：接收机或分配器供电</w:t>
            </w:r>
          </w:p>
        </w:tc>
        <w:tc>
          <w:tcPr>
            <w:tcW w:w="873" w:type="dxa"/>
            <w:shd w:val="clear" w:color="auto" w:fill="auto"/>
            <w:vAlign w:val="center"/>
          </w:tcPr>
          <w:p w14:paraId="46D1FB3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23A8078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套</w:t>
            </w:r>
          </w:p>
        </w:tc>
      </w:tr>
      <w:tr w14:paraId="714E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206CD8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718" w:type="dxa"/>
            <w:shd w:val="clear" w:color="auto" w:fill="auto"/>
            <w:vAlign w:val="center"/>
          </w:tcPr>
          <w:p w14:paraId="3C1E2E37">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音响</w:t>
            </w:r>
          </w:p>
        </w:tc>
        <w:tc>
          <w:tcPr>
            <w:tcW w:w="6355" w:type="dxa"/>
            <w:shd w:val="clear" w:color="auto" w:fill="auto"/>
            <w:vAlign w:val="center"/>
          </w:tcPr>
          <w:p w14:paraId="6B0B7DBE">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基本参数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1．功率 (100V)为60W</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2．最大功率为120W</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3．灵敏度为91dB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4．额定阻抗为黑为COM白为160Ω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5．频响为110Hz-15KHz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6．防护等级：IP66</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7．尺寸为240×190×570mm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8．喇叭单元为6.5"×2+3"×1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9．重量为6.3kg</w:t>
            </w:r>
          </w:p>
        </w:tc>
        <w:tc>
          <w:tcPr>
            <w:tcW w:w="873" w:type="dxa"/>
            <w:shd w:val="clear" w:color="auto" w:fill="auto"/>
            <w:vAlign w:val="center"/>
          </w:tcPr>
          <w:p w14:paraId="64B8459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tc>
        <w:tc>
          <w:tcPr>
            <w:tcW w:w="791" w:type="dxa"/>
            <w:shd w:val="clear" w:color="auto" w:fill="auto"/>
            <w:vAlign w:val="center"/>
          </w:tcPr>
          <w:p w14:paraId="6CA1A76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只</w:t>
            </w:r>
          </w:p>
        </w:tc>
      </w:tr>
      <w:tr w14:paraId="26CF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66811F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718" w:type="dxa"/>
            <w:shd w:val="clear" w:color="auto" w:fill="auto"/>
            <w:vAlign w:val="center"/>
          </w:tcPr>
          <w:p w14:paraId="74500777">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室内音频线</w:t>
            </w:r>
          </w:p>
        </w:tc>
        <w:tc>
          <w:tcPr>
            <w:tcW w:w="6355" w:type="dxa"/>
            <w:shd w:val="clear" w:color="auto" w:fill="auto"/>
            <w:vAlign w:val="center"/>
          </w:tcPr>
          <w:p w14:paraId="5BA4607C">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1、名称：铜芯双绞线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2、规格：RVV-2*1.5mm2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3、敷设方式：穿管敷设</w:t>
            </w:r>
          </w:p>
        </w:tc>
        <w:tc>
          <w:tcPr>
            <w:tcW w:w="873" w:type="dxa"/>
            <w:shd w:val="clear" w:color="auto" w:fill="auto"/>
            <w:vAlign w:val="center"/>
          </w:tcPr>
          <w:p w14:paraId="59524AC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400</w:t>
            </w:r>
          </w:p>
        </w:tc>
        <w:tc>
          <w:tcPr>
            <w:tcW w:w="791" w:type="dxa"/>
            <w:shd w:val="clear" w:color="auto" w:fill="auto"/>
            <w:vAlign w:val="center"/>
          </w:tcPr>
          <w:p w14:paraId="500A867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米</w:t>
            </w:r>
          </w:p>
        </w:tc>
      </w:tr>
      <w:tr w14:paraId="37E2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3A0F5D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718" w:type="dxa"/>
            <w:shd w:val="clear" w:color="auto" w:fill="auto"/>
            <w:vAlign w:val="center"/>
          </w:tcPr>
          <w:p w14:paraId="717ECB63">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22U标准机柜</w:t>
            </w:r>
          </w:p>
        </w:tc>
        <w:tc>
          <w:tcPr>
            <w:tcW w:w="6355" w:type="dxa"/>
            <w:shd w:val="clear" w:color="auto" w:fill="auto"/>
            <w:vAlign w:val="center"/>
          </w:tcPr>
          <w:p w14:paraId="1583F6B0">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1.机柜材质：SPCC优质冷轧钢板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2.表面处理工艺：脱脂、酸洗、磷化、静电喷塑（黑色）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3.门板类型：玻璃门/金属网孔门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4.机柜容量：22U 600*600*1200MM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5.承载：静载500Kg、托板每层达到100Kg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6.安装温度：-10～+50℃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7.储存温度：-20～+70℃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湿度：≤85%（温度85℃±3℃）</w:t>
            </w:r>
          </w:p>
        </w:tc>
        <w:tc>
          <w:tcPr>
            <w:tcW w:w="873" w:type="dxa"/>
            <w:shd w:val="clear" w:color="auto" w:fill="auto"/>
            <w:vAlign w:val="center"/>
          </w:tcPr>
          <w:p w14:paraId="4535932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1670ED6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台</w:t>
            </w:r>
          </w:p>
        </w:tc>
      </w:tr>
      <w:tr w14:paraId="257E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027530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718" w:type="dxa"/>
            <w:shd w:val="clear" w:color="auto" w:fill="auto"/>
            <w:vAlign w:val="center"/>
          </w:tcPr>
          <w:p w14:paraId="3822DC91">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安装辅材</w:t>
            </w:r>
          </w:p>
        </w:tc>
        <w:tc>
          <w:tcPr>
            <w:tcW w:w="6355" w:type="dxa"/>
            <w:shd w:val="clear" w:color="auto" w:fill="auto"/>
            <w:vAlign w:val="center"/>
          </w:tcPr>
          <w:p w14:paraId="61A078A1">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PVC线管及线材等周边辅材</w:t>
            </w:r>
          </w:p>
        </w:tc>
        <w:tc>
          <w:tcPr>
            <w:tcW w:w="873" w:type="dxa"/>
            <w:shd w:val="clear" w:color="auto" w:fill="auto"/>
            <w:vAlign w:val="center"/>
          </w:tcPr>
          <w:p w14:paraId="04992D0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4DE209B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项</w:t>
            </w:r>
          </w:p>
        </w:tc>
      </w:tr>
      <w:tr w14:paraId="6E9E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2D8B0136">
            <w:pPr>
              <w:widowControl/>
              <w:jc w:val="center"/>
              <w:textAlignment w:val="center"/>
              <w:rPr>
                <w:rFonts w:ascii="宋体" w:hAnsi="宋体" w:eastAsia="宋体" w:cs="宋体"/>
                <w:color w:val="000000"/>
                <w:kern w:val="0"/>
                <w:sz w:val="22"/>
                <w:szCs w:val="22"/>
                <w:lang w:bidi="ar"/>
              </w:rPr>
            </w:pPr>
          </w:p>
          <w:p w14:paraId="23ABD077">
            <w:pPr>
              <w:widowControl/>
              <w:jc w:val="center"/>
              <w:textAlignment w:val="center"/>
              <w:rPr>
                <w:rFonts w:ascii="宋体" w:hAnsi="宋体" w:eastAsia="宋体" w:cs="宋体"/>
                <w:color w:val="000000"/>
                <w:kern w:val="0"/>
                <w:sz w:val="22"/>
                <w:szCs w:val="22"/>
                <w:lang w:bidi="ar"/>
              </w:rPr>
            </w:pPr>
          </w:p>
          <w:p w14:paraId="52A37BF8">
            <w:pPr>
              <w:widowControl/>
              <w:jc w:val="center"/>
              <w:textAlignment w:val="center"/>
            </w:pPr>
            <w:r>
              <w:rPr>
                <w:rFonts w:hint="eastAsia" w:ascii="宋体" w:hAnsi="宋体" w:eastAsia="宋体" w:cs="宋体"/>
                <w:color w:val="000000"/>
                <w:kern w:val="0"/>
                <w:sz w:val="22"/>
                <w:szCs w:val="22"/>
                <w:lang w:bidi="ar"/>
              </w:rPr>
              <w:t>10</w:t>
            </w:r>
          </w:p>
        </w:tc>
        <w:tc>
          <w:tcPr>
            <w:tcW w:w="1718" w:type="dxa"/>
            <w:shd w:val="clear" w:color="auto" w:fill="auto"/>
            <w:vAlign w:val="center"/>
          </w:tcPr>
          <w:p w14:paraId="114D50D4">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系统集成</w:t>
            </w:r>
          </w:p>
        </w:tc>
        <w:tc>
          <w:tcPr>
            <w:tcW w:w="6355" w:type="dxa"/>
            <w:shd w:val="clear" w:color="auto" w:fill="auto"/>
            <w:vAlign w:val="center"/>
          </w:tcPr>
          <w:p w14:paraId="4129300E">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要求完成本设备配置表中全部设备的安装及调试，各种设备应连接无误、信号切换准确无误、系统运行可靠。每条信号线用标签纸或号码管标注明示。由原厂专业工程师进行安装并培训，使校方人员能正常使用和熟练掌握；负责培训、验收等相关费用。</w:t>
            </w:r>
          </w:p>
        </w:tc>
        <w:tc>
          <w:tcPr>
            <w:tcW w:w="873" w:type="dxa"/>
            <w:shd w:val="clear" w:color="auto" w:fill="auto"/>
            <w:vAlign w:val="center"/>
          </w:tcPr>
          <w:p w14:paraId="49CA5A9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791" w:type="dxa"/>
            <w:shd w:val="clear" w:color="auto" w:fill="auto"/>
            <w:vAlign w:val="center"/>
          </w:tcPr>
          <w:p w14:paraId="5D0420D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项</w:t>
            </w:r>
          </w:p>
        </w:tc>
      </w:tr>
      <w:tr w14:paraId="6DE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0" w:type="dxa"/>
            <w:gridSpan w:val="5"/>
          </w:tcPr>
          <w:p w14:paraId="3761DFA5">
            <w:pPr>
              <w:spacing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说明：1、</w:t>
            </w:r>
            <w:r>
              <w:rPr>
                <w:rFonts w:hint="eastAsia" w:ascii="宋体" w:hAnsi="宋体" w:eastAsia="宋体" w:cs="宋体"/>
                <w:bCs/>
                <w:color w:val="auto"/>
                <w:sz w:val="21"/>
                <w:szCs w:val="21"/>
                <w:highlight w:val="none"/>
              </w:rPr>
              <w:t>投标人的投标文件必须标明所投货物的品牌与参数，保证原厂正品供货。</w:t>
            </w:r>
          </w:p>
          <w:p w14:paraId="5B27C966">
            <w:pPr>
              <w:spacing w:line="360" w:lineRule="auto"/>
              <w:ind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2、所有技术参数及要求采购人验收时将逐条核对，如发现与实际情况不符、虚假响应等，采购人有权解除合同并报监管部门，由此产生的责任与后果均由中标人承担。</w:t>
            </w:r>
          </w:p>
          <w:p w14:paraId="0D6F5C9E">
            <w:pPr>
              <w:spacing w:line="360" w:lineRule="auto"/>
              <w:ind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3、投标人应按照招标文件要求提供证明材料。若投标提供了招标文件未要求的证明材料，评标委员会将不予评审。</w:t>
            </w:r>
          </w:p>
          <w:p w14:paraId="01BDEF48">
            <w:pPr>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4、投标人提供的证明材料须清晰的反映评审内容，如因材料模糊不清，导致评标委员会无法辨认的，评标委员会可以不予认可，一切后果由投标人自行承担。</w:t>
            </w:r>
          </w:p>
          <w:p w14:paraId="091FD53A">
            <w:pPr>
              <w:widowControl/>
              <w:ind w:firstLine="422" w:firstLineChars="200"/>
              <w:jc w:val="both"/>
              <w:textAlignment w:val="center"/>
              <w:rPr>
                <w:rFonts w:hint="default" w:ascii="宋体" w:hAnsi="宋体" w:eastAsia="宋体" w:cs="宋体"/>
                <w:color w:val="000000"/>
                <w:kern w:val="0"/>
                <w:sz w:val="22"/>
                <w:szCs w:val="22"/>
                <w:lang w:val="en-US" w:bidi="ar"/>
              </w:rPr>
            </w:pPr>
            <w:r>
              <w:rPr>
                <w:rFonts w:hint="eastAsia"/>
                <w:b/>
                <w:bCs/>
                <w:lang w:val="en-US" w:eastAsia="zh-CN"/>
              </w:rPr>
              <w:t>5、本项目预算：人民币</w:t>
            </w:r>
            <w:bookmarkStart w:id="0" w:name="_GoBack"/>
            <w:bookmarkEnd w:id="0"/>
            <w:r>
              <w:rPr>
                <w:rFonts w:hint="eastAsia"/>
                <w:b/>
                <w:bCs/>
                <w:lang w:val="en-US" w:eastAsia="zh-CN"/>
              </w:rPr>
              <w:t>贰拾万元整（￥200000.00元）</w:t>
            </w:r>
          </w:p>
        </w:tc>
      </w:tr>
    </w:tbl>
    <w:p w14:paraId="6C2B615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09"/>
    <w:rsid w:val="00247142"/>
    <w:rsid w:val="00846009"/>
    <w:rsid w:val="009D3D68"/>
    <w:rsid w:val="00FA3749"/>
    <w:rsid w:val="037F314C"/>
    <w:rsid w:val="08C66D17"/>
    <w:rsid w:val="0B583DFD"/>
    <w:rsid w:val="0F1F3AF7"/>
    <w:rsid w:val="1A6F261F"/>
    <w:rsid w:val="1F0E03F8"/>
    <w:rsid w:val="25D07F40"/>
    <w:rsid w:val="3368056A"/>
    <w:rsid w:val="3B9C0DF3"/>
    <w:rsid w:val="497C0C22"/>
    <w:rsid w:val="4A7E4778"/>
    <w:rsid w:val="52995311"/>
    <w:rsid w:val="61DC793B"/>
    <w:rsid w:val="65EB7404"/>
    <w:rsid w:val="688C0843"/>
    <w:rsid w:val="69006D22"/>
    <w:rsid w:val="6E05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annotation text"/>
    <w:basedOn w:val="1"/>
    <w:qFormat/>
    <w:uiPriority w:val="0"/>
    <w:pPr>
      <w:jc w:val="left"/>
    </w:pPr>
  </w:style>
  <w:style w:type="paragraph" w:styleId="4">
    <w:name w:val="Plain Text"/>
    <w:basedOn w:val="1"/>
    <w:qFormat/>
    <w:uiPriority w:val="99"/>
    <w:rPr>
      <w:rFonts w:ascii="宋体" w:hAnsi="Courier New" w:cs="Courier New"/>
      <w:szCs w:val="21"/>
    </w:rPr>
  </w:style>
  <w:style w:type="paragraph" w:styleId="5">
    <w:name w:val="Balloon Text"/>
    <w:basedOn w:val="1"/>
    <w:link w:val="9"/>
    <w:qFormat/>
    <w:uiPriority w:val="0"/>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7401</Words>
  <Characters>9069</Characters>
  <Lines>68</Lines>
  <Paragraphs>19</Paragraphs>
  <TotalTime>0</TotalTime>
  <ScaleCrop>false</ScaleCrop>
  <LinksUpToDate>false</LinksUpToDate>
  <CharactersWithSpaces>9180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2025-08-01T05:06:00Z</dcterms:created>
  <dc:creator>Administrator</dc:creator>
  <cp:lastModifiedBy>NTKO</cp:lastModifiedBy>
  <cp:lastPrinted>2025-08-01T05:06:00Z</cp:lastPrinted>
  <dcterms:modified xsi:type="dcterms:W3CDTF">2025-08-05T03:43:55Z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eyJoZGlkIjoiYjFiNWUxOGFhYjAyYzg4NDU4OTlhMzcxNGJhNTEyY2UiLCJ1c2VySWQiOiI3NzIyMDkxMjcifQ==</vt:lpwstr>
  </property>
  <property fmtid="{D5CDD505-2E9C-101B-9397-08002B2CF9AE}" pid="4" name="ICV">
    <vt:lpwstr>68D620B8528B4BB49D0E8EED73435A41_13</vt:lpwstr>
  </property>
</Properties>
</file>